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396CB0" w14:textId="77777777" w:rsidR="008835C2" w:rsidRDefault="008835C2">
      <w:pPr>
        <w:pStyle w:val="Heading2"/>
        <w:rPr>
          <w:rFonts w:hint="eastAsia"/>
        </w:rPr>
      </w:pPr>
    </w:p>
    <w:p w14:paraId="7B0B64C4" w14:textId="77777777" w:rsidR="008835C2" w:rsidRDefault="00F950D0">
      <w:pPr>
        <w:pStyle w:val="Title"/>
        <w:rPr>
          <w:rFonts w:hint="eastAsia"/>
        </w:rPr>
      </w:pPr>
      <w:r>
        <w:t>Users</w:t>
      </w:r>
    </w:p>
    <w:p w14:paraId="7F25A251" w14:textId="77777777" w:rsidR="008835C2" w:rsidRDefault="008835C2">
      <w:pPr>
        <w:pStyle w:val="TextBody"/>
        <w:rPr>
          <w:rFonts w:hint="eastAsia"/>
        </w:rPr>
      </w:pPr>
    </w:p>
    <w:p w14:paraId="61D10C03" w14:textId="77777777" w:rsidR="008835C2" w:rsidRDefault="00F950D0">
      <w:pPr>
        <w:pStyle w:val="TextBody"/>
        <w:rPr>
          <w:rFonts w:hint="eastAsia"/>
        </w:rPr>
      </w:pPr>
      <w:r>
        <w:t xml:space="preserve">In this chapter I want to highlight some themes that emerged about the users of chemicals in the home, and to compare and contrast the users of garden chemicals, chemicals for cleaning the house and for developing photographs. The relationship between user and chemical is complicated. It includes regulators, retailers, manufacturers and their advertising agency, any number of committee members, sales staff and production line workers, copy writers whom may be users themselves. It involves the perception of other users through the media as well as word of mouth, or over the garden fence, where </w:t>
      </w:r>
      <w:proofErr w:type="gramStart"/>
      <w:r>
        <w:t>success,  failure</w:t>
      </w:r>
      <w:proofErr w:type="gramEnd"/>
      <w:r>
        <w:t>, news of accidents or misadventure colour how the user and the chemical interact. The user can behave in ways that seem at odds with messages they might be expected to receive from the influences outlined above, as well as any codified cues, warnings or instructions that they are not compelled to read or may not decipher in the intended way. Users cannot really be considered without non-</w:t>
      </w:r>
      <w:proofErr w:type="gramStart"/>
      <w:r>
        <w:t>users,</w:t>
      </w:r>
      <w:proofErr w:type="gramEnd"/>
      <w:r>
        <w:t xml:space="preserve"> ambivalence cannot be dealt with without the comparison to the well-informed. In this, the organic movement needs to be addressed and although they were not users of the herbicides I studied, the ethos that gardening could be done without industrial chemical products did percolate and can be seen in the decreasing numbers of chemical adverts in the media, as well as in the type or content of articles and letters printed.</w:t>
      </w:r>
    </w:p>
    <w:p w14:paraId="2BC6C268" w14:textId="77777777" w:rsidR="008835C2" w:rsidRDefault="00F950D0">
      <w:pPr>
        <w:pStyle w:val="Heading2"/>
        <w:rPr>
          <w:rFonts w:hint="eastAsia"/>
        </w:rPr>
      </w:pPr>
      <w:r>
        <w:t>Children</w:t>
      </w:r>
    </w:p>
    <w:p w14:paraId="031CD82B" w14:textId="77777777" w:rsidR="008835C2" w:rsidRDefault="00F950D0">
      <w:pPr>
        <w:pStyle w:val="TextBody"/>
        <w:rPr>
          <w:rFonts w:hint="eastAsia"/>
        </w:rPr>
      </w:pPr>
      <w:r>
        <w:t>Chemicals in the hands of children was seen as a particular problem; both with regards to accidents involving ingestion or mistaken identity so becoming an unwitting user, and when they deliberately obtained chemicals for their own entertainment, as an adventurous misuser. The tendency of young children to explore everything with their mouths, followed when they are</w:t>
      </w:r>
      <w:r w:rsidR="00563A24">
        <w:t xml:space="preserve"> older of a certain trust</w:t>
      </w:r>
      <w:r>
        <w:t xml:space="preserve"> that contents of a container are always what they are expected to be, or at least safe, causes responsible adults to respond protectively and attempt to prevent accidents through appropriate chemical storage, supervision. When children, specifically 'adventurous boys'</w:t>
      </w:r>
      <w:r>
        <w:rPr>
          <w:rStyle w:val="FootnoteAnchor"/>
        </w:rPr>
        <w:footnoteReference w:id="1"/>
      </w:r>
      <w:r>
        <w:t xml:space="preserve"> are older, they may become interested in chemicals, though with the exception of photographic chemicals, generally not for the purposes they were intended for. Adolescents were behind banger and bomb making with sodium chlorate, the gateway having been opened through the gift of a chemistry set and facilitated by the ease with which further supplies could be obtained, either legitimately sold through shops or illicitly taken from the sheds of parents, relatives or neighbours. Solvent abuse is another area that adolescents are particularly attracted to, partly for the availability of substances in the home and partly for their low cost. Legislation has been enacted and enforced to protect children from themselves but only regarding sales. The availability of chemicals in the home and garden to be misused relies on education, whether through news reports of accidents or through workplace safety initiatives as well as school curriculum, all of which aim to alert adults and children alike to the hazards that could be found in homes.</w:t>
      </w:r>
    </w:p>
    <w:p w14:paraId="049D8892" w14:textId="77777777" w:rsidR="008835C2" w:rsidRDefault="00F950D0">
      <w:pPr>
        <w:spacing w:after="240" w:line="480" w:lineRule="auto"/>
        <w:rPr>
          <w:rFonts w:hint="eastAsia"/>
        </w:rPr>
      </w:pPr>
      <w:r>
        <w:lastRenderedPageBreak/>
        <w:t xml:space="preserve">The 1970s and 1980s saw a concerted effort to bring down accidents in the home, especially regarding children. Home Accident Surveillance System was initiated and collated results from hospitals around the country to help identify, better understand and address the types and reasons behind accidents in order to prevent them. The way that substances are listed is interesting. Under cleaning is the vague term 'chemical', along side chemicals caustic soda, ammonia, bleach (liquid and other, separated), and products by category such as lavatory cleaner, general cleaners, window cleaning fluid and oven cleaner. Products used in maintenance and DIY are similarly various; 'solvent' is listed with chemicals </w:t>
      </w:r>
      <w:proofErr w:type="spellStart"/>
      <w:r>
        <w:t>meths</w:t>
      </w:r>
      <w:proofErr w:type="spellEnd"/>
      <w:r>
        <w:t xml:space="preserve">, surgical spirit, turpentine/ white spirit and paraffin, again alongside functional categories of products such as paint stripper. It shows that people were using chemicals as well as branded products, though those brands were not incriminated here. </w:t>
      </w:r>
    </w:p>
    <w:p w14:paraId="2A8CFD31" w14:textId="08A7EB82" w:rsidR="008835C2" w:rsidRDefault="001A6DA8">
      <w:pPr>
        <w:spacing w:after="240" w:line="480" w:lineRule="auto"/>
        <w:rPr>
          <w:rFonts w:ascii="Times" w:hAnsi="Times"/>
        </w:rPr>
      </w:pPr>
      <w:r>
        <w:t>CTC child deaths from early on,</w:t>
      </w:r>
      <w:r w:rsidR="00F950D0">
        <w:t xml:space="preserve"> 1947</w:t>
      </w:r>
      <w:r w:rsidR="00F950D0">
        <w:rPr>
          <w:rStyle w:val="FootnoteAnchor"/>
        </w:rPr>
        <w:footnoteReference w:id="2"/>
      </w:r>
      <w:r w:rsidR="00F950D0">
        <w:t xml:space="preserve"> and one in 1962.</w:t>
      </w:r>
      <w:r w:rsidR="00F950D0">
        <w:rPr>
          <w:rStyle w:val="FootnoteAnchor"/>
        </w:rPr>
        <w:footnoteReference w:id="3"/>
      </w:r>
      <w:r w:rsidR="00F950D0">
        <w:t xml:space="preserve"> In both instances, the six year old children had taken a rag soaked with the chemical to bed with them. The young boy had been cleaning his model train tracks with the chemical, and the paper described his fascination with the smell.</w:t>
      </w:r>
      <w:r w:rsidR="00F950D0">
        <w:rPr>
          <w:rStyle w:val="FootnoteAnchor"/>
        </w:rPr>
        <w:footnoteReference w:id="4"/>
      </w:r>
      <w:r w:rsidR="00F950D0">
        <w:t xml:space="preserve"> </w:t>
      </w:r>
      <w:r>
        <w:rPr>
          <w:rFonts w:ascii="Times" w:hAnsi="Times"/>
        </w:rPr>
        <w:t xml:space="preserve">13 year old Victoria </w:t>
      </w:r>
      <w:proofErr w:type="spellStart"/>
      <w:r>
        <w:rPr>
          <w:rFonts w:ascii="Times" w:hAnsi="Times"/>
        </w:rPr>
        <w:t>Boden</w:t>
      </w:r>
      <w:proofErr w:type="spellEnd"/>
      <w:r>
        <w:rPr>
          <w:rFonts w:ascii="Times" w:hAnsi="Times"/>
        </w:rPr>
        <w:t xml:space="preserve"> liked the smell of CTC and was found unresponsive on her bed holding a duster to her mouth by her father who regularly used CTC for cleaning and had warned her against smelling it.</w:t>
      </w:r>
      <w:r>
        <w:rPr>
          <w:rStyle w:val="FootnoteReference"/>
          <w:rFonts w:ascii="Times" w:hAnsi="Times"/>
        </w:rPr>
        <w:footnoteReference w:id="5"/>
      </w:r>
      <w:r>
        <w:rPr>
          <w:rFonts w:ascii="Times" w:hAnsi="Times"/>
        </w:rPr>
        <w:t xml:space="preserve"> </w:t>
      </w:r>
      <w:r w:rsidRPr="001A6DA8">
        <w:rPr>
          <w:rFonts w:ascii="Times" w:hAnsi="Times" w:hint="eastAsia"/>
        </w:rPr>
        <w:t xml:space="preserve">In another case, a 9 year old </w:t>
      </w:r>
      <w:r>
        <w:rPr>
          <w:rFonts w:ascii="Times" w:hAnsi="Times"/>
        </w:rPr>
        <w:t xml:space="preserve">girl </w:t>
      </w:r>
      <w:r w:rsidRPr="001A6DA8">
        <w:rPr>
          <w:rFonts w:ascii="Times" w:hAnsi="Times" w:hint="eastAsia"/>
        </w:rPr>
        <w:t xml:space="preserve">recovering from chicken pox spilt CTC on her bedclothes and recorked the bottle that she had been sniffing from, then </w:t>
      </w:r>
      <w:r w:rsidRPr="001A6DA8">
        <w:rPr>
          <w:rFonts w:ascii="Times" w:hAnsi="Times" w:hint="eastAsia"/>
        </w:rPr>
        <w:t>“</w:t>
      </w:r>
      <w:r w:rsidRPr="001A6DA8">
        <w:rPr>
          <w:rFonts w:ascii="Times" w:hAnsi="Times" w:hint="eastAsia"/>
        </w:rPr>
        <w:t>lay over the spill and inhaled a fatal amount</w:t>
      </w:r>
      <w:r w:rsidRPr="001A6DA8">
        <w:rPr>
          <w:rFonts w:ascii="Times" w:hAnsi="Times" w:hint="eastAsia"/>
        </w:rPr>
        <w:t>”</w:t>
      </w:r>
      <w:r w:rsidRPr="001A6DA8">
        <w:rPr>
          <w:rFonts w:ascii="Times" w:hAnsi="Times" w:hint="eastAsia"/>
        </w:rPr>
        <w:t>.</w:t>
      </w:r>
      <w:r>
        <w:rPr>
          <w:rStyle w:val="FootnoteReference"/>
          <w:rFonts w:ascii="Times" w:hAnsi="Times"/>
        </w:rPr>
        <w:footnoteReference w:id="6"/>
      </w:r>
    </w:p>
    <w:p w14:paraId="283D2056" w14:textId="6FD19E03" w:rsidR="00667D29" w:rsidRDefault="00667D29">
      <w:pPr>
        <w:spacing w:after="240" w:line="480" w:lineRule="auto"/>
        <w:rPr>
          <w:rFonts w:hint="eastAsia"/>
        </w:rPr>
      </w:pPr>
      <w:r>
        <w:rPr>
          <w:rFonts w:ascii="Times" w:hAnsi="Times"/>
        </w:rPr>
        <w:t xml:space="preserve">Parents were not always aware of the severity of the danger their child was in, shown by the example of a three-year-old who drank CTC which her father brought home in a juice bottle. Her parents noticed her getting sleepy as soon as she’d drunk the liquid, but were not concerned as it was near her bedtime. They fed her some fish and chips, after which she was sick. She got </w:t>
      </w:r>
      <w:r>
        <w:rPr>
          <w:rFonts w:ascii="Times" w:hAnsi="Times"/>
        </w:rPr>
        <w:lastRenderedPageBreak/>
        <w:t>progressively drowsier and lost consciousness. At 20.30, two hours after she’d ingested CTC and around 1.25 hours after she’d become unresponsive, she was admitted to hospital.</w:t>
      </w:r>
      <w:r>
        <w:rPr>
          <w:rStyle w:val="FootnoteReference"/>
          <w:rFonts w:ascii="Times" w:hAnsi="Times"/>
        </w:rPr>
        <w:footnoteReference w:id="7"/>
      </w:r>
      <w:r>
        <w:rPr>
          <w:rFonts w:ascii="Times" w:hAnsi="Times"/>
        </w:rPr>
        <w:t xml:space="preserve"> </w:t>
      </w:r>
    </w:p>
    <w:p w14:paraId="7DDA1B74" w14:textId="77777777" w:rsidR="008835C2" w:rsidRDefault="00F950D0">
      <w:pPr>
        <w:spacing w:after="240" w:line="480" w:lineRule="auto"/>
        <w:rPr>
          <w:rFonts w:hint="eastAsia"/>
        </w:rPr>
      </w:pPr>
      <w:r>
        <w:t>Following an argument with his business partner, a young fish breeder killed two tanks of Japanese fighting fish by putting caustic soda and copper sulphate 'to be sure' that the fish were killed.</w:t>
      </w:r>
      <w:r>
        <w:rPr>
          <w:rStyle w:val="FootnoteAnchor"/>
        </w:rPr>
        <w:footnoteReference w:id="8"/>
      </w:r>
      <w:r>
        <w:t xml:space="preserve"> </w:t>
      </w:r>
    </w:p>
    <w:p w14:paraId="335C19DB" w14:textId="77777777" w:rsidR="00563A24" w:rsidRDefault="00563A24" w:rsidP="00563A24">
      <w:pPr>
        <w:spacing w:after="240" w:line="480" w:lineRule="auto"/>
        <w:rPr>
          <w:rFonts w:hint="eastAsia"/>
        </w:rPr>
      </w:pPr>
      <w:r>
        <w:rPr>
          <w:color w:val="000000"/>
        </w:rPr>
        <w:t xml:space="preserve">Robert Cooke, MP for Bristol West, shared a number of personal experiences gained from chemicals used at his home, the large large country house </w:t>
      </w:r>
      <w:proofErr w:type="spellStart"/>
      <w:r>
        <w:rPr>
          <w:color w:val="000000"/>
        </w:rPr>
        <w:t>Athelhampton</w:t>
      </w:r>
      <w:proofErr w:type="spellEnd"/>
      <w:r>
        <w:rPr>
          <w:color w:val="000000"/>
        </w:rPr>
        <w:t xml:space="preserve"> Hall with grand gardens kept in order by gardeners, during a debate on the Farm and Garden Chemicals Act. He recounted how as a child he ate a whole box of </w:t>
      </w:r>
      <w:r>
        <w:rPr>
          <w:rFonts w:hint="eastAsia"/>
          <w:color w:val="000000"/>
        </w:rPr>
        <w:t>“</w:t>
      </w:r>
      <w:r>
        <w:rPr>
          <w:color w:val="000000"/>
        </w:rPr>
        <w:t>delicious</w:t>
      </w:r>
      <w:r>
        <w:rPr>
          <w:rFonts w:hint="eastAsia"/>
          <w:color w:val="000000"/>
        </w:rPr>
        <w:t>”</w:t>
      </w:r>
      <w:r>
        <w:rPr>
          <w:color w:val="000000"/>
        </w:rPr>
        <w:t xml:space="preserve"> bran slug killer, and only found out what it was several years later when he asked the gardener what it was. He discovered his own young son carrying </w:t>
      </w:r>
      <w:r>
        <w:rPr>
          <w:rFonts w:hint="eastAsia"/>
          <w:color w:val="000000"/>
        </w:rPr>
        <w:t>around</w:t>
      </w:r>
      <w:r>
        <w:rPr>
          <w:color w:val="000000"/>
        </w:rPr>
        <w:t xml:space="preserve"> a plastic tray of rat poison, and another time, playing with empty </w:t>
      </w:r>
      <w:proofErr w:type="spellStart"/>
      <w:r>
        <w:rPr>
          <w:color w:val="000000"/>
        </w:rPr>
        <w:t>weedkiller</w:t>
      </w:r>
      <w:proofErr w:type="spellEnd"/>
      <w:r>
        <w:rPr>
          <w:color w:val="000000"/>
        </w:rPr>
        <w:t xml:space="preserve"> containers.</w:t>
      </w:r>
      <w:r>
        <w:rPr>
          <w:rStyle w:val="FootnoteReference"/>
          <w:rFonts w:hint="eastAsia"/>
          <w:color w:val="000000"/>
        </w:rPr>
        <w:footnoteReference w:id="9"/>
      </w:r>
      <w:r>
        <w:rPr>
          <w:color w:val="000000"/>
        </w:rPr>
        <w:t xml:space="preserve"> </w:t>
      </w:r>
    </w:p>
    <w:p w14:paraId="6F58A738" w14:textId="55E635EC" w:rsidR="00563A24" w:rsidRDefault="00552EC9">
      <w:pPr>
        <w:spacing w:after="240" w:line="480" w:lineRule="auto"/>
      </w:pPr>
      <w:r>
        <w:t xml:space="preserve">Children were </w:t>
      </w:r>
      <w:r>
        <w:rPr>
          <w:rFonts w:hint="eastAsia"/>
        </w:rPr>
        <w:t>targeted</w:t>
      </w:r>
      <w:r>
        <w:t xml:space="preserve"> as recipients for home safety propaganda and for better labelling on products, though it is hard to know how effective these </w:t>
      </w:r>
      <w:r w:rsidR="0091571D">
        <w:t xml:space="preserve">efforts </w:t>
      </w:r>
      <w:r>
        <w:t>were.</w:t>
      </w:r>
      <w:r w:rsidR="0066286E">
        <w:t xml:space="preserve"> Pictorial symbols on labels were of doubtful value, as trials in the USA of a </w:t>
      </w:r>
      <w:r w:rsidR="0066286E">
        <w:rPr>
          <w:rFonts w:hint="eastAsia"/>
        </w:rPr>
        <w:t>“</w:t>
      </w:r>
      <w:r w:rsidR="0066286E">
        <w:t>Mr Yuk</w:t>
      </w:r>
      <w:r w:rsidR="0066286E">
        <w:rPr>
          <w:rFonts w:hint="eastAsia"/>
        </w:rPr>
        <w:t>”</w:t>
      </w:r>
      <w:r w:rsidR="0066286E">
        <w:t xml:space="preserve"> deterrent image showed that instead children were attracted to it.</w:t>
      </w:r>
      <w:r>
        <w:t xml:space="preserve"> In 1989 Gill Combes used discussion sessions with Scottish children and looked at the drawings they produced to find out </w:t>
      </w:r>
      <w:r w:rsidR="0066286E">
        <w:t>what they thought</w:t>
      </w:r>
      <w:r>
        <w:t xml:space="preserve"> </w:t>
      </w:r>
      <w:r w:rsidR="0066286E">
        <w:t xml:space="preserve">could cause </w:t>
      </w:r>
      <w:r>
        <w:t>accidents at home. Interestingly, chemicals were not featured</w:t>
      </w:r>
      <w:r w:rsidR="0066286E">
        <w:t xml:space="preserve"> in the the children</w:t>
      </w:r>
      <w:r w:rsidR="0066286E">
        <w:rPr>
          <w:rFonts w:hint="eastAsia"/>
        </w:rPr>
        <w:t>’</w:t>
      </w:r>
      <w:r w:rsidR="0066286E">
        <w:t>s re</w:t>
      </w:r>
      <w:r w:rsidR="00EF65C1">
        <w:t>sponses, which either suggests that children did not view accidents with chemicals as likely as the trips, fires and bites that they illustrated, or that this concept was hard for children to draw. However,</w:t>
      </w:r>
      <w:r>
        <w:t xml:space="preserve"> some of the children certainly knew about </w:t>
      </w:r>
      <w:r w:rsidR="00EF65C1">
        <w:t>dangers from chemicals</w:t>
      </w:r>
      <w:r>
        <w:t xml:space="preserve"> because they offered specific advice on how to avoid them </w:t>
      </w:r>
      <w:r>
        <w:rPr>
          <w:rFonts w:hint="eastAsia"/>
        </w:rPr>
        <w:t>“</w:t>
      </w:r>
      <w:r w:rsidRPr="00552EC9">
        <w:rPr>
          <w:rFonts w:hint="eastAsia"/>
        </w:rPr>
        <w:t>My mum s</w:t>
      </w:r>
      <w:r>
        <w:rPr>
          <w:rFonts w:hint="eastAsia"/>
        </w:rPr>
        <w:t>ays never go under the sink 'coz</w:t>
      </w:r>
      <w:r w:rsidRPr="00552EC9">
        <w:rPr>
          <w:rFonts w:hint="eastAsia"/>
        </w:rPr>
        <w:t xml:space="preserve"> she puts all the things that can hurt you if you </w:t>
      </w:r>
      <w:r w:rsidRPr="00552EC9">
        <w:rPr>
          <w:rFonts w:hint="eastAsia"/>
        </w:rPr>
        <w:lastRenderedPageBreak/>
        <w:t>drink them</w:t>
      </w:r>
      <w:r>
        <w:rPr>
          <w:rFonts w:hint="eastAsia"/>
        </w:rPr>
        <w:t>”</w:t>
      </w:r>
      <w:r>
        <w:t>.</w:t>
      </w:r>
      <w:r w:rsidR="0066286E">
        <w:t xml:space="preserve"> </w:t>
      </w:r>
      <w:r w:rsidR="00EF65C1">
        <w:t>Children knew that could accident happened if you tried to be helpful, if you tried to do something you were not allowed to do, or ignored what adults told you, all of which were relevant to how chemicals should be kept away from and not used by children. P</w:t>
      </w:r>
      <w:r w:rsidR="0066286E">
        <w:t>arents agreed that they were the ones, rather than outside educational agencies, to teach young children how to be safe at home.</w:t>
      </w:r>
      <w:r w:rsidR="0066286E">
        <w:rPr>
          <w:rStyle w:val="FootnoteReference"/>
          <w:rFonts w:hint="eastAsia"/>
        </w:rPr>
        <w:footnoteReference w:id="10"/>
      </w:r>
    </w:p>
    <w:p w14:paraId="3714062E" w14:textId="77777777" w:rsidR="008835C2" w:rsidRDefault="00F950D0">
      <w:pPr>
        <w:pStyle w:val="Heading2"/>
        <w:rPr>
          <w:rFonts w:hint="eastAsia"/>
        </w:rPr>
      </w:pPr>
      <w:r>
        <w:t>Perverts</w:t>
      </w:r>
    </w:p>
    <w:p w14:paraId="163DEFDA" w14:textId="77777777" w:rsidR="008835C2" w:rsidRDefault="00F950D0">
      <w:pPr>
        <w:spacing w:after="240" w:line="480" w:lineRule="auto"/>
        <w:rPr>
          <w:rFonts w:hint="eastAsia"/>
        </w:rPr>
      </w:pPr>
      <w:r>
        <w:t>47 year old Marcus Mahoney's at</w:t>
      </w:r>
      <w:bookmarkStart w:id="0" w:name="_GoBack"/>
      <w:bookmarkEnd w:id="0"/>
      <w:r>
        <w:t>tack on 18 year old Linda Pike in her own home,</w:t>
      </w:r>
      <w:r>
        <w:rPr>
          <w:rStyle w:val="FootnoteAnchor"/>
        </w:rPr>
        <w:footnoteReference w:id="11"/>
      </w:r>
      <w:r>
        <w:t xml:space="preserve"> made all the more peculiar and awful by offering his own skin to be used for grafts that she subsequently needed.</w:t>
      </w:r>
    </w:p>
    <w:p w14:paraId="61272934" w14:textId="77777777" w:rsidR="008835C2" w:rsidRDefault="00F950D0">
      <w:pPr>
        <w:pStyle w:val="TextBody"/>
        <w:rPr>
          <w:rFonts w:hint="eastAsia"/>
        </w:rPr>
      </w:pPr>
      <w:r>
        <w:t>Unnamed Industrial chemist brought home chloroform for domestic cleaning, and sexual arousal. His wife was killed when he overindulged and passed out, draping the towel soaked in chloroform across her face.</w:t>
      </w:r>
      <w:r>
        <w:rPr>
          <w:rStyle w:val="FootnoteAnchor"/>
        </w:rPr>
        <w:footnoteReference w:id="12"/>
      </w:r>
    </w:p>
    <w:p w14:paraId="366493C5" w14:textId="77777777" w:rsidR="008835C2" w:rsidRDefault="008835C2">
      <w:pPr>
        <w:pStyle w:val="Heading2"/>
        <w:rPr>
          <w:rFonts w:hint="eastAsia"/>
        </w:rPr>
      </w:pPr>
    </w:p>
    <w:p w14:paraId="4B85CB46" w14:textId="77777777" w:rsidR="008835C2" w:rsidRDefault="00F950D0">
      <w:pPr>
        <w:pStyle w:val="Heading2"/>
        <w:rPr>
          <w:rFonts w:hint="eastAsia"/>
        </w:rPr>
      </w:pPr>
      <w:r>
        <w:t>Model Users</w:t>
      </w:r>
    </w:p>
    <w:p w14:paraId="66D42D0B" w14:textId="77777777" w:rsidR="008835C2" w:rsidRDefault="00F950D0">
      <w:pPr>
        <w:spacing w:line="480" w:lineRule="auto"/>
        <w:rPr>
          <w:rFonts w:hint="eastAsia"/>
        </w:rPr>
      </w:pPr>
      <w:r>
        <w:t xml:space="preserve">Model users are a creation of the publishing and broadcast industries. By cultivating an authoritative gardening character, a respected regular feature (column or programme) can be a guaranteed to interest real and vicarious gardeners alike. They may not agree with the practices, but this can generate lively letters or further content if readers or viewers feel strongly enough to communicate these views. In the following section, the role of "celebrity gardeners", those who had public presence through newspapers and magazines, radio or TV, in setting an example and gaining acceptance for new chemical products is examined further. </w:t>
      </w:r>
    </w:p>
    <w:p w14:paraId="74D0FF6C" w14:textId="77777777" w:rsidR="008835C2" w:rsidRDefault="008835C2">
      <w:pPr>
        <w:spacing w:line="480" w:lineRule="auto"/>
        <w:rPr>
          <w:rFonts w:hint="eastAsia"/>
        </w:rPr>
      </w:pPr>
    </w:p>
    <w:p w14:paraId="10E3B8D0" w14:textId="77777777" w:rsidR="008835C2" w:rsidRDefault="00F950D0">
      <w:pPr>
        <w:spacing w:line="480" w:lineRule="auto"/>
        <w:rPr>
          <w:rFonts w:hint="eastAsia"/>
        </w:rPr>
      </w:pPr>
      <w:r>
        <w:t xml:space="preserve">Weekly gardening columnists modelled how to correctly use the chemical and broadcast a schedule for using the herbicide. The device of "jobs to do this week" is well used in their columns, which </w:t>
      </w:r>
      <w:r>
        <w:lastRenderedPageBreak/>
        <w:t xml:space="preserve">presents very similar advice and instruction on weeding, planting, fertilising as might be set out in gardening almanacs or books. The newspaper columns give the opportunity to add topical comment on rain or sun, or other events to supplement and fine tune the advice. </w:t>
      </w:r>
    </w:p>
    <w:p w14:paraId="0B35D0AB" w14:textId="77777777" w:rsidR="008835C2" w:rsidRDefault="00F950D0">
      <w:pPr>
        <w:pStyle w:val="Heading2"/>
        <w:rPr>
          <w:rFonts w:hint="eastAsia"/>
        </w:rPr>
      </w:pPr>
      <w:r>
        <w:t>Gender</w:t>
      </w:r>
    </w:p>
    <w:p w14:paraId="2A92E014" w14:textId="77777777" w:rsidR="008835C2" w:rsidRDefault="00F950D0">
      <w:pPr>
        <w:pStyle w:val="TextBody"/>
        <w:rPr>
          <w:rFonts w:hint="eastAsia"/>
        </w:rPr>
      </w:pPr>
      <w:r>
        <w:t xml:space="preserve">Housework is generalised as being women's work, but this is not the case. Artist Joan </w:t>
      </w:r>
      <w:proofErr w:type="spellStart"/>
      <w:r>
        <w:t>Pilsbury</w:t>
      </w:r>
      <w:proofErr w:type="spellEnd"/>
      <w:r>
        <w:t xml:space="preserve"> shared housework with her husband Neil who she married in 1955, doing housework as it was needed to feel in order rather than by any rigid routine. Joan liked tidiness, but in her interview she didn't refer to hygiene, germs, ease, labour or time. Neil had been in the army and had his own flat before living with Joan, so he was used to looking after living quarters. Joan was the only interviewee in the BL collection of artist life stories who actually mentioned a cleaning product, the household disinfectant </w:t>
      </w:r>
      <w:proofErr w:type="spellStart"/>
      <w:r>
        <w:t>Izal</w:t>
      </w:r>
      <w:proofErr w:type="spellEnd"/>
      <w:r>
        <w:t>, which she described Neil using in the yard and the kitchen.</w:t>
      </w:r>
      <w:r>
        <w:rPr>
          <w:rStyle w:val="FootnoteAnchor"/>
        </w:rPr>
        <w:footnoteReference w:id="13"/>
      </w:r>
      <w:r>
        <w:t xml:space="preserve"> </w:t>
      </w:r>
    </w:p>
    <w:p w14:paraId="5FAB1C55" w14:textId="77777777" w:rsidR="008835C2" w:rsidRDefault="00F950D0">
      <w:pPr>
        <w:pStyle w:val="TextBody"/>
        <w:rPr>
          <w:rFonts w:hint="eastAsia"/>
        </w:rPr>
      </w:pPr>
      <w:r>
        <w:t>Robert Maguire remembered his mother's scrupulous housekeeping and that her daily routine was to polish the lino throughout the house before 10 am when she would go out shopping. He explained that it was just the way she had been brought up and continued to keep everything spotless her entire life. He did not say that he helped, and he did not reminisce about the polish, its smells, any effect, or how she might have done it other than saying that they did not have a vacuum cleaner.</w:t>
      </w:r>
      <w:r>
        <w:rPr>
          <w:rStyle w:val="FootnoteAnchor"/>
        </w:rPr>
        <w:footnoteReference w:id="14"/>
      </w:r>
    </w:p>
    <w:p w14:paraId="426AC424" w14:textId="77777777" w:rsidR="008835C2" w:rsidRDefault="008835C2">
      <w:pPr>
        <w:pStyle w:val="TextBody"/>
        <w:rPr>
          <w:rFonts w:hint="eastAsia"/>
        </w:rPr>
      </w:pPr>
    </w:p>
    <w:p w14:paraId="14F37C10" w14:textId="77777777" w:rsidR="008835C2" w:rsidRDefault="00F950D0">
      <w:pPr>
        <w:spacing w:line="480" w:lineRule="auto"/>
        <w:rPr>
          <w:rFonts w:hint="eastAsia"/>
        </w:rPr>
      </w:pPr>
      <w:r>
        <w:t>"What can be more tonal than the satisfaction which the grown up amateur or master of the house, enjoys when he returns from the city to his garden in the summer evenings, and applies the syringe to his wall trees, with refreshing enjoyment to himself and the plants and to the delight of his children who may be watching his operations."</w:t>
      </w:r>
      <w:r>
        <w:rPr>
          <w:rStyle w:val="FootnoteAnchor"/>
        </w:rPr>
        <w:footnoteReference w:id="15"/>
      </w:r>
      <w:r>
        <w:t xml:space="preserve"> Although the author of this scene did not mention what was contained within the sprayer, it could have simply been water to refresh the leaves in an industrially polluted area, the possibility of fascinating picture of domestic chemical use in 1838 as entertainment, not just care of plants, has been conjured up. </w:t>
      </w:r>
    </w:p>
    <w:p w14:paraId="5BEB2344" w14:textId="77777777" w:rsidR="008835C2" w:rsidRDefault="008835C2">
      <w:pPr>
        <w:spacing w:line="480" w:lineRule="auto"/>
        <w:rPr>
          <w:rFonts w:hint="eastAsia"/>
        </w:rPr>
      </w:pPr>
    </w:p>
    <w:p w14:paraId="66B4BD0B" w14:textId="77777777" w:rsidR="008835C2" w:rsidRDefault="00F950D0">
      <w:pPr>
        <w:pStyle w:val="Heading2"/>
        <w:spacing w:line="480" w:lineRule="auto"/>
        <w:rPr>
          <w:rFonts w:hint="eastAsia"/>
        </w:rPr>
      </w:pPr>
      <w:r>
        <w:t>Gardening as a gendered activity?</w:t>
      </w:r>
    </w:p>
    <w:p w14:paraId="3EC54AEE" w14:textId="77777777" w:rsidR="008835C2" w:rsidRDefault="00F950D0">
      <w:pPr>
        <w:spacing w:line="480" w:lineRule="auto"/>
        <w:rPr>
          <w:rFonts w:hint="eastAsia"/>
        </w:rPr>
      </w:pPr>
      <w:r>
        <w:t xml:space="preserve">Garden magazines modelled the appropriate use of garden chemicals and even showed women </w:t>
      </w:r>
      <w:r>
        <w:lastRenderedPageBreak/>
        <w:t>involved in lawn care and general weeding, measuring out chemicals into a watering can and operating a flame gun. In the following six images showing a person waging war on weeds, rather than just the tools involved, four showed men.</w:t>
      </w:r>
      <w:r>
        <w:rPr>
          <w:rStyle w:val="FootnoteAnchor"/>
        </w:rPr>
        <w:footnoteReference w:id="16"/>
      </w:r>
      <w:r>
        <w:t xml:space="preserve"> This montage featured a gardener wearing a </w:t>
      </w:r>
      <w:proofErr w:type="spellStart"/>
      <w:r>
        <w:t>floaty</w:t>
      </w:r>
      <w:proofErr w:type="spellEnd"/>
      <w:r>
        <w:t xml:space="preserve">, feminine dress and coiffured hair making up a solution of lawn treatment which was then applied by a man. </w:t>
      </w:r>
    </w:p>
    <w:p w14:paraId="31D85092" w14:textId="77777777" w:rsidR="008835C2" w:rsidRDefault="00F950D0">
      <w:pPr>
        <w:spacing w:line="480" w:lineRule="auto"/>
        <w:rPr>
          <w:rFonts w:hint="eastAsia"/>
          <w:color w:val="000000"/>
        </w:rPr>
      </w:pPr>
      <w:r>
        <w:rPr>
          <w:color w:val="000000"/>
        </w:rPr>
        <w:t xml:space="preserve">We can see that the advised best practice of making up the solution outside, rather than in the kitchen or utility room is modelled. Protective gloves are not indicated as necessary here. The smart dress of the 1963 lady gardener implied the absence of heavy gardening work and that the use of chemicals negated any need to dress down for dirty gardening because using chemicals was clean and easy. Similar photo sequences from the 1980s showed dedicated gardening clothes and protective gear, as well as using the product cap to measure out rather than a spoon that could find its way back into the kitchen. </w:t>
      </w:r>
      <w:r>
        <w:rPr>
          <w:noProof/>
          <w:lang w:val="en-US" w:eastAsia="en-US" w:bidi="ar-SA"/>
        </w:rPr>
        <mc:AlternateContent>
          <mc:Choice Requires="wps">
            <w:drawing>
              <wp:anchor distT="0" distB="0" distL="0" distR="0" simplePos="0" relativeHeight="10" behindDoc="0" locked="0" layoutInCell="1" allowOverlap="1" wp14:anchorId="34075900" wp14:editId="18EE325D">
                <wp:simplePos x="0" y="0"/>
                <wp:positionH relativeFrom="column">
                  <wp:align>center</wp:align>
                </wp:positionH>
                <wp:positionV relativeFrom="paragraph">
                  <wp:align>top</wp:align>
                </wp:positionV>
                <wp:extent cx="6120130" cy="4841240"/>
                <wp:effectExtent l="0" t="0" r="0" b="0"/>
                <wp:wrapSquare wrapText="largest"/>
                <wp:docPr id="1" name="Frame6"/>
                <wp:cNvGraphicFramePr/>
                <a:graphic xmlns:a="http://schemas.openxmlformats.org/drawingml/2006/main">
                  <a:graphicData uri="http://schemas.microsoft.com/office/word/2010/wordprocessingShape">
                    <wps:wsp>
                      <wps:cNvSpPr txBox="1"/>
                      <wps:spPr>
                        <a:xfrm>
                          <a:off x="0" y="0"/>
                          <a:ext cx="6120130" cy="4841240"/>
                        </a:xfrm>
                        <a:prstGeom prst="rect">
                          <a:avLst/>
                        </a:prstGeom>
                      </wps:spPr>
                      <wps:txbx>
                        <w:txbxContent>
                          <w:p w14:paraId="7FAB1F3F"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39BB628C" wp14:editId="64C05D50">
                                  <wp:extent cx="6120130" cy="45897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a:stretch>
                                            <a:fillRect/>
                                          </a:stretch>
                                        </pic:blipFill>
                                        <pic:spPr bwMode="auto">
                                          <a:xfrm>
                                            <a:off x="0" y="0"/>
                                            <a:ext cx="6120130" cy="458978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Photo montage from "War on Weeds" Practical Gardening, June 1963, p65</w:t>
                            </w:r>
                          </w:p>
                        </w:txbxContent>
                      </wps:txbx>
                      <wps:bodyPr lIns="0" tIns="0" rIns="0" bIns="0" anchor="t">
                        <a:noAutofit/>
                      </wps:bodyPr>
                    </wps:wsp>
                  </a:graphicData>
                </a:graphic>
              </wp:anchor>
            </w:drawing>
          </mc:Choice>
          <mc:Fallback>
            <w:pict>
              <v:shapetype w14:anchorId="34075900" id="_x0000_t202" coordsize="21600,21600" o:spt="202" path="m0,0l0,21600,21600,21600,21600,0xe">
                <v:stroke joinstyle="miter"/>
                <v:path gradientshapeok="t" o:connecttype="rect"/>
              </v:shapetype>
              <v:shape id="Frame6" o:spid="_x0000_s1026" type="#_x0000_t202" style="position:absolute;margin-left:0;margin-top:0;width:481.9pt;height:381.2pt;z-index:10;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" filled="f" stroked="f">
                <v:textbox inset="0,0,0,0">
                  <w:txbxContent>
                    <w:p w14:paraId="7FAB1F3F"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39BB628C" wp14:editId="64C05D50">
                            <wp:extent cx="6120130" cy="45897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a:stretch>
                                      <a:fillRect/>
                                    </a:stretch>
                                  </pic:blipFill>
                                  <pic:spPr bwMode="auto">
                                    <a:xfrm>
                                      <a:off x="0" y="0"/>
                                      <a:ext cx="6120130" cy="458978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Photo montage from "War on Weeds" Practical Gardening, June 1963, p65</w:t>
                      </w:r>
                    </w:p>
                  </w:txbxContent>
                </v:textbox>
                <w10:wrap type="square" side="largest"/>
              </v:shape>
            </w:pict>
          </mc:Fallback>
        </mc:AlternateContent>
      </w:r>
    </w:p>
    <w:p w14:paraId="5297CF26" w14:textId="77777777" w:rsidR="008835C2" w:rsidRDefault="008835C2">
      <w:pPr>
        <w:spacing w:line="480" w:lineRule="auto"/>
        <w:rPr>
          <w:rFonts w:hint="eastAsia"/>
          <w:color w:val="000000"/>
        </w:rPr>
      </w:pPr>
    </w:p>
    <w:p w14:paraId="24F2C40A" w14:textId="77777777" w:rsidR="008835C2" w:rsidRDefault="00F950D0">
      <w:pPr>
        <w:spacing w:line="480" w:lineRule="auto"/>
        <w:rPr>
          <w:rFonts w:hint="eastAsia"/>
        </w:rPr>
      </w:pPr>
      <w:r>
        <w:rPr>
          <w:color w:val="000000"/>
        </w:rPr>
        <w:t xml:space="preserve">Some gardeners wanted to use </w:t>
      </w:r>
      <w:proofErr w:type="spellStart"/>
      <w:r>
        <w:rPr>
          <w:color w:val="000000"/>
        </w:rPr>
        <w:t>Weedol</w:t>
      </w:r>
      <w:proofErr w:type="spellEnd"/>
      <w:r>
        <w:rPr>
          <w:color w:val="000000"/>
        </w:rPr>
        <w:t xml:space="preserve"> but not to invest in dedicated application equipment, so made do with items at hand, such as putting a large funnel over the watering-can rose to refine the spray accuracy.</w:t>
      </w:r>
      <w:r>
        <w:rPr>
          <w:rStyle w:val="FootnoteAnchor"/>
          <w:color w:val="000000"/>
        </w:rPr>
        <w:footnoteReference w:id="17"/>
      </w:r>
    </w:p>
    <w:p w14:paraId="1057884E" w14:textId="77777777" w:rsidR="008835C2" w:rsidRDefault="008835C2">
      <w:pPr>
        <w:spacing w:line="480" w:lineRule="auto"/>
        <w:rPr>
          <w:rFonts w:hint="eastAsia"/>
          <w:color w:val="000000"/>
        </w:rPr>
      </w:pPr>
    </w:p>
    <w:p w14:paraId="0914D58E" w14:textId="77777777" w:rsidR="008835C2" w:rsidRDefault="00F950D0">
      <w:pPr>
        <w:spacing w:line="480" w:lineRule="auto"/>
        <w:rPr>
          <w:rFonts w:hint="eastAsia"/>
        </w:rPr>
      </w:pPr>
      <w:r>
        <w:t>ICI even featured a celebrity gardener Percy Thrower in some of their adverts.</w:t>
      </w:r>
      <w:r>
        <w:rPr>
          <w:rStyle w:val="FootnoteAnchor"/>
        </w:rPr>
        <w:footnoteReference w:id="18"/>
      </w:r>
      <w:r>
        <w:t xml:space="preserve"> Thrower had been a household name since 1947, when he started giving gardening advice on BBC radio. His columns on the subject appeared in the </w:t>
      </w:r>
      <w:r>
        <w:rPr>
          <w:i/>
          <w:iCs/>
        </w:rPr>
        <w:t>Daily Mail</w:t>
      </w:r>
      <w:r>
        <w:t xml:space="preserve">, the </w:t>
      </w:r>
      <w:r>
        <w:rPr>
          <w:i/>
          <w:iCs/>
        </w:rPr>
        <w:t>Mirror</w:t>
      </w:r>
      <w:r>
        <w:t xml:space="preserve"> and the magazine </w:t>
      </w:r>
      <w:r>
        <w:rPr>
          <w:i/>
          <w:iCs/>
        </w:rPr>
        <w:t>Amateur Gardening</w:t>
      </w:r>
      <w:r>
        <w:t xml:space="preserve">, he published books, as well as being lead presenter on the BBC television show </w:t>
      </w:r>
      <w:r>
        <w:rPr>
          <w:i/>
          <w:iCs/>
        </w:rPr>
        <w:t>Gardeners World</w:t>
      </w:r>
      <w:r>
        <w:t>. When ICI incorporated Percy Thrower's image and testimonial, they aimed to capitalise on Thrower's "brand" and the trust people had in him.  I would describe Thrower as a model user or evangelist, a role taken on by other garden writers and broadcasters such as Cecil Henry Middleton's who was a horticultural consultant to Boots.</w:t>
      </w:r>
      <w:r>
        <w:rPr>
          <w:rStyle w:val="FootnoteAnchor"/>
        </w:rPr>
        <w:footnoteReference w:id="19"/>
      </w:r>
      <w:r>
        <w:t xml:space="preserve"> </w:t>
      </w:r>
    </w:p>
    <w:p w14:paraId="7F516B6B" w14:textId="77777777" w:rsidR="008835C2" w:rsidRDefault="008835C2">
      <w:pPr>
        <w:spacing w:line="480" w:lineRule="auto"/>
        <w:rPr>
          <w:rFonts w:hint="eastAsia"/>
        </w:rPr>
      </w:pPr>
    </w:p>
    <w:p w14:paraId="7192E8F8" w14:textId="77777777" w:rsidR="008835C2" w:rsidRDefault="00F950D0">
      <w:pPr>
        <w:spacing w:line="480" w:lineRule="auto"/>
        <w:rPr>
          <w:rFonts w:hint="eastAsia"/>
        </w:rPr>
      </w:pPr>
      <w:r>
        <w:rPr>
          <w:color w:val="000000"/>
        </w:rPr>
        <w:t xml:space="preserve">Evangelists could also counter accusations that </w:t>
      </w:r>
      <w:proofErr w:type="spellStart"/>
      <w:r>
        <w:rPr>
          <w:color w:val="000000"/>
        </w:rPr>
        <w:t>Weedol</w:t>
      </w:r>
      <w:proofErr w:type="spellEnd"/>
      <w:r>
        <w:rPr>
          <w:color w:val="000000"/>
        </w:rPr>
        <w:t xml:space="preserve"> was expensive, by reiterating that by investing in the appropriate application spray bar, the herbicide could be applied without waste as the dedicated applicator could make </w:t>
      </w:r>
      <w:proofErr w:type="spellStart"/>
      <w:r>
        <w:rPr>
          <w:color w:val="000000"/>
        </w:rPr>
        <w:t>Weedol</w:t>
      </w:r>
      <w:proofErr w:type="spellEnd"/>
      <w:r>
        <w:rPr>
          <w:color w:val="000000"/>
        </w:rPr>
        <w:t xml:space="preserve"> go even further.</w:t>
      </w:r>
      <w:r>
        <w:rPr>
          <w:rStyle w:val="FootnoteAnchor"/>
          <w:color w:val="000000"/>
        </w:rPr>
        <w:footnoteReference w:id="20"/>
      </w:r>
      <w:r>
        <w:rPr>
          <w:color w:val="000000"/>
        </w:rPr>
        <w:t xml:space="preserve"> These model users were by no means perfect, shown through inconsistent product placement, or the occasional modelling of unideal opinions such as that "amateur packs were expensive".</w:t>
      </w:r>
      <w:r>
        <w:rPr>
          <w:rStyle w:val="FootnoteAnchor"/>
          <w:color w:val="000000"/>
        </w:rPr>
        <w:footnoteReference w:id="21"/>
      </w:r>
      <w:r>
        <w:rPr>
          <w:color w:val="000000"/>
        </w:rPr>
        <w:t xml:space="preserve"> Some newspaper columnists who evangelised about paraquat as an option for other home gardeners preferred mulching and cover planting to avoid weeds in their own gardens.</w:t>
      </w:r>
      <w:r>
        <w:rPr>
          <w:rStyle w:val="FootnoteAnchor"/>
          <w:color w:val="000000"/>
        </w:rPr>
        <w:footnoteReference w:id="22"/>
      </w:r>
      <w:r>
        <w:rPr>
          <w:color w:val="000000"/>
        </w:rPr>
        <w:t xml:space="preserve"> </w:t>
      </w:r>
    </w:p>
    <w:p w14:paraId="2C007119" w14:textId="77777777" w:rsidR="008835C2" w:rsidRDefault="008835C2">
      <w:pPr>
        <w:spacing w:line="480" w:lineRule="auto"/>
        <w:rPr>
          <w:rFonts w:hint="eastAsia"/>
          <w:color w:val="000000"/>
        </w:rPr>
      </w:pPr>
    </w:p>
    <w:p w14:paraId="27FFA16D" w14:textId="77777777" w:rsidR="008835C2" w:rsidRDefault="00F950D0">
      <w:pPr>
        <w:spacing w:line="480" w:lineRule="auto"/>
        <w:rPr>
          <w:rFonts w:hint="eastAsia"/>
        </w:rPr>
      </w:pPr>
      <w:r>
        <w:lastRenderedPageBreak/>
        <w:t xml:space="preserve">With so many examples of careful and correct use to guide the application of paraquat in home gardens, how did paraquat come to be known as a killer chemical? What should be remembered is that the majority of paraquat users carefully followed the instructions for normal, expected uses and neither they, nor anyone else, came to any harm. A disobedient domestic user of </w:t>
      </w:r>
      <w:proofErr w:type="spellStart"/>
      <w:r>
        <w:t>Weedol</w:t>
      </w:r>
      <w:proofErr w:type="spellEnd"/>
      <w:r>
        <w:t xml:space="preserve"> would not store it in a safe place, they would allow children access to the granules, make up a stronger solution, or use the herbicide for purposes other than killing weeds in their garden. More seriously, careless </w:t>
      </w:r>
      <w:proofErr w:type="spellStart"/>
      <w:r>
        <w:t>Gramoxone</w:t>
      </w:r>
      <w:proofErr w:type="spellEnd"/>
      <w:r>
        <w:t xml:space="preserve"> users contained it in an inadequately labelled drinks bottle and allowed it into a domestic environment. </w:t>
      </w:r>
    </w:p>
    <w:p w14:paraId="14E0A82B" w14:textId="77777777" w:rsidR="008835C2" w:rsidRDefault="008835C2">
      <w:pPr>
        <w:spacing w:line="480" w:lineRule="auto"/>
        <w:rPr>
          <w:rFonts w:hint="eastAsia"/>
          <w:color w:val="000000"/>
        </w:rPr>
      </w:pPr>
    </w:p>
    <w:p w14:paraId="09A03DBC" w14:textId="77777777" w:rsidR="008835C2" w:rsidRDefault="008835C2">
      <w:pPr>
        <w:spacing w:line="480" w:lineRule="auto"/>
        <w:rPr>
          <w:rFonts w:hint="eastAsia"/>
          <w:color w:val="000000"/>
        </w:rPr>
      </w:pPr>
    </w:p>
    <w:p w14:paraId="636D0D0B" w14:textId="77777777" w:rsidR="008835C2" w:rsidRDefault="00F950D0">
      <w:pPr>
        <w:spacing w:line="480" w:lineRule="auto"/>
        <w:rPr>
          <w:rFonts w:hint="eastAsia"/>
        </w:rPr>
      </w:pPr>
      <w:r>
        <w:t>This reference to the master of the household points to gendered division of labour. He was expected to manage the fruit trees, vegetables and lawn, while the light work of tending flowers and weeding were allocated to women and children of the household.</w:t>
      </w:r>
      <w:r>
        <w:rPr>
          <w:rStyle w:val="FootnoteAnchor"/>
        </w:rPr>
        <w:footnoteReference w:id="23"/>
      </w:r>
      <w:r>
        <w:t xml:space="preserve"> However, an important part of the lawn care in addition to the manipulation of heavy machinery, was the identification and eradication of weeds.  That this was undertaken by men is hinted at by the description of how "brain workers" would find the sense of achievement that could be gained from seeing the immediate visual impact of a session of weeding particularly beneficial, and the process of identifying weeds was even characterised as a stimulating, interesting activity.</w:t>
      </w:r>
      <w:r>
        <w:rPr>
          <w:rStyle w:val="FootnoteAnchor"/>
        </w:rPr>
        <w:footnoteReference w:id="24"/>
      </w:r>
      <w:r>
        <w:t xml:space="preserve"> These "brain workers" who were presumably involved in office based, long term projects and denied the satisfaction of a tangible result as part of their regular employment. </w:t>
      </w:r>
    </w:p>
    <w:p w14:paraId="699A3E3A" w14:textId="77777777" w:rsidR="008835C2" w:rsidRDefault="008835C2">
      <w:pPr>
        <w:spacing w:line="480" w:lineRule="auto"/>
        <w:rPr>
          <w:rFonts w:hint="eastAsia"/>
        </w:rPr>
      </w:pPr>
    </w:p>
    <w:p w14:paraId="5D52321A" w14:textId="77777777" w:rsidR="008835C2" w:rsidRDefault="00F950D0">
      <w:pPr>
        <w:spacing w:line="480" w:lineRule="auto"/>
        <w:rPr>
          <w:rFonts w:hint="eastAsia"/>
        </w:rPr>
      </w:pPr>
      <w:r>
        <w:t xml:space="preserve">The ways that weeding could be approached was also described in gendered terms, which could be linked to the experience of work in the home and paid employment elsewhere. The concept that weeding was a task to be done in "odd moments" was one that garden writer Marion </w:t>
      </w:r>
      <w:proofErr w:type="spellStart"/>
      <w:r>
        <w:t>Cran</w:t>
      </w:r>
      <w:proofErr w:type="spellEnd"/>
      <w:r>
        <w:t xml:space="preserve"> </w:t>
      </w:r>
      <w:proofErr w:type="gramStart"/>
      <w:r>
        <w:t>espoused,  and</w:t>
      </w:r>
      <w:proofErr w:type="gramEnd"/>
      <w:r>
        <w:t xml:space="preserve"> this meant that it could be regarded as costing nothing. I argue that this reflects women's </w:t>
      </w:r>
      <w:r>
        <w:lastRenderedPageBreak/>
        <w:t xml:space="preserve">experience of fragmented nature of modern domestic work, where automated processes of laundry or dishwashing may be set off, leaving the </w:t>
      </w:r>
      <w:proofErr w:type="spellStart"/>
      <w:r>
        <w:t>houseworker</w:t>
      </w:r>
      <w:proofErr w:type="spellEnd"/>
      <w:r>
        <w:t xml:space="preserve"> free for a limited period of time until the next stage of the process that requires human intervention comes around. Weeding undertaken by men on the other hand was something that had to be approached stoically and for extended periods of time, and this relates to the single minded focus that men are expected to exhibit in their paid work. The concept of hand weeding as expensive depends on how the person doing the weeding values their time. An unpaid housewife may appreciate the opportunity to spend a productive "odd moment" in the garden, choosing if she prefers, or if circumstances allow, to do a longer stint, whereas for a man used to approaching tasks for prolonged periods of time, applied to weeding this became a tedious chore, plus he knew the monetary value of his time. The readership of magazines such as </w:t>
      </w:r>
      <w:r>
        <w:rPr>
          <w:i/>
          <w:iCs/>
        </w:rPr>
        <w:t>Amateur Gardener</w:t>
      </w:r>
      <w:r>
        <w:t xml:space="preserve">, from where the example of </w:t>
      </w:r>
      <w:proofErr w:type="spellStart"/>
      <w:r>
        <w:t>weedkiller</w:t>
      </w:r>
      <w:proofErr w:type="spellEnd"/>
      <w:r>
        <w:t xml:space="preserve"> advertising was taken, was middle class gardeners who generally </w:t>
      </w:r>
      <w:r>
        <w:rPr>
          <w:b/>
          <w:bCs/>
        </w:rPr>
        <w:t>'did for'</w:t>
      </w:r>
      <w:r>
        <w:t xml:space="preserve"> themselves. Perhaps the word "expensive" in this context was used ambiguously and could be read as simply time spent, or cash paid out to an employed gardener, which would </w:t>
      </w:r>
      <w:proofErr w:type="gramStart"/>
      <w:r>
        <w:t>worked</w:t>
      </w:r>
      <w:proofErr w:type="gramEnd"/>
      <w:r>
        <w:t xml:space="preserve"> to make the sentiment, and the product, relevant to both </w:t>
      </w:r>
      <w:proofErr w:type="spellStart"/>
      <w:r>
        <w:t>DIYers</w:t>
      </w:r>
      <w:proofErr w:type="spellEnd"/>
      <w:r>
        <w:t xml:space="preserve"> and employers of gardening staff. </w:t>
      </w:r>
    </w:p>
    <w:p w14:paraId="3558F307" w14:textId="77777777" w:rsidR="008835C2" w:rsidRDefault="008835C2">
      <w:pPr>
        <w:spacing w:line="480" w:lineRule="auto"/>
        <w:rPr>
          <w:rFonts w:hint="eastAsia"/>
        </w:rPr>
      </w:pPr>
    </w:p>
    <w:p w14:paraId="30701661" w14:textId="77777777" w:rsidR="008835C2" w:rsidRDefault="00F950D0">
      <w:pPr>
        <w:tabs>
          <w:tab w:val="left" w:pos="7725"/>
        </w:tabs>
        <w:spacing w:line="480" w:lineRule="auto"/>
        <w:rPr>
          <w:rFonts w:hint="eastAsia"/>
        </w:rPr>
      </w:pPr>
      <w:r>
        <w:t xml:space="preserve">While garden tasks requiring physical work with dedicated tools, heavy machines and chemicals might suggest the garden as a masculine space, this is would imply that the physicality, machines and chemicals required for housework would attract men to the task. Nonetheless, in garden manuals the sense of a male gardener is carried beyond the casual use of pronouns, and the desire for standardisation of measurements and aids for accuracy could hint at a masculine gardening task force, especially when compared to the </w:t>
      </w:r>
      <w:proofErr w:type="gramStart"/>
      <w:r>
        <w:t>more vague</w:t>
      </w:r>
      <w:proofErr w:type="gramEnd"/>
      <w:r>
        <w:t xml:space="preserve"> domestic measurements employed in handling chemicals used by women in laundering and general housework. We saw in the chapter on housework that women were dealing with "little lumps" of chemicals that may or may not have a comparable size to a roughly standard item such as a walnut. </w:t>
      </w:r>
    </w:p>
    <w:p w14:paraId="571761FA" w14:textId="77777777" w:rsidR="008835C2" w:rsidRDefault="008835C2">
      <w:pPr>
        <w:tabs>
          <w:tab w:val="left" w:pos="7725"/>
        </w:tabs>
        <w:spacing w:line="480" w:lineRule="auto"/>
        <w:rPr>
          <w:rFonts w:hint="eastAsia"/>
        </w:rPr>
      </w:pPr>
    </w:p>
    <w:p w14:paraId="37168C63" w14:textId="77777777" w:rsidR="008835C2" w:rsidRDefault="00F950D0">
      <w:pPr>
        <w:tabs>
          <w:tab w:val="left" w:pos="7725"/>
        </w:tabs>
        <w:spacing w:line="480" w:lineRule="auto"/>
        <w:rPr>
          <w:rFonts w:hint="eastAsia"/>
        </w:rPr>
      </w:pPr>
      <w:r>
        <w:lastRenderedPageBreak/>
        <w:t xml:space="preserve">While gardening books and manuals described masculine workers, in garden chemical adverts both men and women were featured but for different tasks. Women were not depicted as </w:t>
      </w:r>
      <w:proofErr w:type="spellStart"/>
      <w:r>
        <w:t>weeders</w:t>
      </w:r>
      <w:proofErr w:type="spellEnd"/>
      <w:r>
        <w:t xml:space="preserve">, despite a history of low-paid work in this role. Adverts for </w:t>
      </w:r>
      <w:proofErr w:type="spellStart"/>
      <w:r>
        <w:t>weedkillers</w:t>
      </w:r>
      <w:proofErr w:type="spellEnd"/>
      <w:r>
        <w:t xml:space="preserve"> depicted men doing the lawn care and weeding, but this is not to say that women's use of chemicals was feminised or that they were not involved in the same battle against the ravages of garden pests. When adverts for other garden products are considered, female users signal the items' lightness, or simplicity of use. This can be seen most strongly in lawn mower adverts, but also in those for sprayers and chemical sprays. The appearance of women spraying the garden with chemicals means that they were chemical users, and they were killers of mites, aphids and fungi, but not of weeds. This division of labour occurs from the 1960s so coincides not just with the increasingly visible movement for gender equality, but also heightened awareness of the health effects of chemicals, especially on reproductively active women. In this respect, the female users can stand in for chemical safety but when lawn care chemicals are benign, women are not needed to denote safety.</w:t>
      </w:r>
    </w:p>
    <w:p w14:paraId="77148043" w14:textId="77777777" w:rsidR="008835C2" w:rsidRDefault="008835C2">
      <w:pPr>
        <w:tabs>
          <w:tab w:val="left" w:pos="7725"/>
        </w:tabs>
        <w:spacing w:line="480" w:lineRule="auto"/>
        <w:rPr>
          <w:rFonts w:hint="eastAsia"/>
        </w:rPr>
      </w:pPr>
    </w:p>
    <w:p w14:paraId="6889836C" w14:textId="77777777" w:rsidR="008835C2" w:rsidRDefault="00F950D0">
      <w:pPr>
        <w:tabs>
          <w:tab w:val="left" w:pos="7725"/>
        </w:tabs>
        <w:spacing w:line="480" w:lineRule="auto"/>
        <w:rPr>
          <w:rFonts w:hint="eastAsia"/>
        </w:rPr>
      </w:pPr>
      <w:r>
        <w:rPr>
          <w:color w:val="000000"/>
        </w:rPr>
        <w:t>Also significantly, the male figure employed is sensible, middling and stereotypical hapless male does not feature as he might if this was a product for use inside the home. It would not be fitting for "the horse's ass"</w:t>
      </w:r>
      <w:r>
        <w:rPr>
          <w:rStyle w:val="FootnoteAnchor"/>
          <w:color w:val="000000"/>
        </w:rPr>
        <w:footnoteReference w:id="25"/>
      </w:r>
      <w:r>
        <w:rPr>
          <w:color w:val="000000"/>
        </w:rPr>
        <w:t xml:space="preserve"> to model anything less than responsible chemical handling for a product that is meant to kill. The models employed by the advertising agency to portray gardeners would not be employed to promote underwear, or fast cars; he is paunchy, conservative and a home-oriented family man. He's capable, likes the (domesticated) outdoors but is not a rugged, macho character.</w:t>
      </w:r>
    </w:p>
    <w:p w14:paraId="7E83B473" w14:textId="77777777" w:rsidR="008835C2" w:rsidRDefault="008835C2">
      <w:pPr>
        <w:tabs>
          <w:tab w:val="left" w:pos="7725"/>
        </w:tabs>
        <w:spacing w:line="480" w:lineRule="auto"/>
        <w:rPr>
          <w:rFonts w:hint="eastAsia"/>
        </w:rPr>
      </w:pPr>
    </w:p>
    <w:p w14:paraId="1DAEA766" w14:textId="77777777" w:rsidR="008835C2" w:rsidRDefault="00F950D0">
      <w:pPr>
        <w:tabs>
          <w:tab w:val="left" w:pos="7725"/>
        </w:tabs>
        <w:spacing w:line="480" w:lineRule="auto"/>
        <w:rPr>
          <w:rFonts w:hint="eastAsia"/>
        </w:rPr>
      </w:pPr>
      <w:r>
        <w:rPr>
          <w:color w:val="000000"/>
        </w:rPr>
        <w:t xml:space="preserve">The visual trope of hand in a pocket signifying ease and leisure was picked up on by an artist for woman's magazine Good Housekeeping when they illustrated an article on choosing and using </w:t>
      </w:r>
      <w:proofErr w:type="spellStart"/>
      <w:r>
        <w:rPr>
          <w:color w:val="000000"/>
        </w:rPr>
        <w:t>weedkillers</w:t>
      </w:r>
      <w:proofErr w:type="spellEnd"/>
      <w:r>
        <w:rPr>
          <w:color w:val="000000"/>
        </w:rPr>
        <w:t xml:space="preserve">. Her glasses were specifically pointed out as a protective measure, to protect her eyes </w:t>
      </w:r>
      <w:r>
        <w:rPr>
          <w:color w:val="000000"/>
        </w:rPr>
        <w:lastRenderedPageBreak/>
        <w:t>from any wayward droplets,</w:t>
      </w:r>
      <w:r>
        <w:rPr>
          <w:rStyle w:val="FootnoteAnchor"/>
          <w:color w:val="000000"/>
        </w:rPr>
        <w:footnoteReference w:id="26"/>
      </w:r>
      <w:r>
        <w:rPr>
          <w:color w:val="000000"/>
        </w:rPr>
        <w:t xml:space="preserve"> her apron was not commented on. That it was left to magazines to translate the use of </w:t>
      </w:r>
      <w:proofErr w:type="spellStart"/>
      <w:r>
        <w:rPr>
          <w:color w:val="000000"/>
        </w:rPr>
        <w:t>Weedol</w:t>
      </w:r>
      <w:proofErr w:type="spellEnd"/>
      <w:r>
        <w:rPr>
          <w:color w:val="000000"/>
        </w:rPr>
        <w:t xml:space="preserve"> to women does not mean that women did not already choose or use this product, but it is interesting simply because of the absence of women and femininity from </w:t>
      </w:r>
      <w:proofErr w:type="spellStart"/>
      <w:r>
        <w:rPr>
          <w:color w:val="000000"/>
        </w:rPr>
        <w:t>Weedol</w:t>
      </w:r>
      <w:proofErr w:type="spellEnd"/>
      <w:r>
        <w:rPr>
          <w:color w:val="000000"/>
        </w:rPr>
        <w:t xml:space="preserve"> adverts. </w:t>
      </w:r>
    </w:p>
    <w:p w14:paraId="5058C534" w14:textId="77777777" w:rsidR="008835C2" w:rsidRDefault="00F950D0">
      <w:pPr>
        <w:tabs>
          <w:tab w:val="left" w:pos="7725"/>
        </w:tabs>
        <w:spacing w:line="480" w:lineRule="auto"/>
        <w:rPr>
          <w:rFonts w:hint="eastAsia"/>
        </w:rPr>
      </w:pPr>
      <w:r>
        <w:rPr>
          <w:color w:val="000000"/>
        </w:rPr>
        <w:lastRenderedPageBreak/>
        <w:t xml:space="preserve">The "Stand up to weeds!" advert was first placed in mid-April 1968, again only showing the lower half of a male user in neat trousers and a shirt, standing with a hand on his hip and holding a watering can with which to apply </w:t>
      </w:r>
      <w:proofErr w:type="spellStart"/>
      <w:r>
        <w:rPr>
          <w:color w:val="000000"/>
        </w:rPr>
        <w:t>weedkiller</w:t>
      </w:r>
      <w:proofErr w:type="spellEnd"/>
      <w:r>
        <w:rPr>
          <w:color w:val="000000"/>
        </w:rPr>
        <w:t>.</w:t>
      </w:r>
      <w:r>
        <w:rPr>
          <w:rStyle w:val="FootnoteAnchor"/>
          <w:color w:val="000000"/>
        </w:rPr>
        <w:footnoteReference w:id="27"/>
      </w:r>
      <w:r>
        <w:rPr>
          <w:color w:val="000000"/>
        </w:rPr>
        <w:t xml:space="preserve"> The wording implies both the physical action of weeding, which with </w:t>
      </w:r>
      <w:proofErr w:type="spellStart"/>
      <w:r>
        <w:rPr>
          <w:color w:val="000000"/>
        </w:rPr>
        <w:t>Weedol</w:t>
      </w:r>
      <w:proofErr w:type="spellEnd"/>
      <w:r>
        <w:rPr>
          <w:color w:val="000000"/>
        </w:rPr>
        <w:t xml:space="preserve"> no longer involves bending or kneeling, as well as overcoming the relentless invasion of weeds in ones' garden. The practical poses that featured in </w:t>
      </w:r>
      <w:proofErr w:type="spellStart"/>
      <w:r>
        <w:rPr>
          <w:color w:val="000000"/>
        </w:rPr>
        <w:t>Weedol</w:t>
      </w:r>
      <w:proofErr w:type="spellEnd"/>
      <w:r>
        <w:rPr>
          <w:color w:val="000000"/>
        </w:rPr>
        <w:t xml:space="preserve"> adverts are</w:t>
      </w:r>
      <w:r>
        <w:rPr>
          <w:color w:val="000000"/>
        </w:rPr>
        <w:commentReference w:id="1"/>
      </w:r>
      <w:r>
        <w:rPr>
          <w:color w:val="000000"/>
        </w:rPr>
        <w:t xml:space="preserve"> in themselves masculine, they are not decorative or in anyway defying gravity in an unfeasibly unstable manner. which is often how women are illustrated or posed in advertisements for products, a subject that historian of advertising Roland </w:t>
      </w:r>
      <w:proofErr w:type="spellStart"/>
      <w:r>
        <w:rPr>
          <w:color w:val="000000"/>
        </w:rPr>
        <w:t>Marchand</w:t>
      </w:r>
      <w:proofErr w:type="spellEnd"/>
      <w:r>
        <w:rPr>
          <w:color w:val="000000"/>
        </w:rPr>
        <w:t xml:space="preserve"> has explored in depth.</w:t>
      </w:r>
      <w:r>
        <w:rPr>
          <w:rStyle w:val="FootnoteAnchor"/>
          <w:color w:val="000000"/>
        </w:rPr>
        <w:footnoteReference w:id="28"/>
      </w:r>
      <w:r>
        <w:rPr>
          <w:color w:val="000000"/>
        </w:rPr>
        <w:t xml:space="preserve"> If we take </w:t>
      </w:r>
      <w:proofErr w:type="spellStart"/>
      <w:r>
        <w:rPr>
          <w:color w:val="000000"/>
        </w:rPr>
        <w:t>Zayer's</w:t>
      </w:r>
      <w:proofErr w:type="spellEnd"/>
      <w:r>
        <w:rPr>
          <w:color w:val="000000"/>
        </w:rPr>
        <w:t xml:space="preserve"> typologies of masculinity depicted in advertising, the men shown in these advertisements are not adventurers, athletes, attractive, strong, wanting to stand out as individuals, daredevils, partiers or players. It would be unfair to categorise them as slobs (out of shape and unattractive) though resorting to a labour saving device could be seen as avoiding physical exertion, leaving the most appropriate typologies as goal-driven (determined and motivated to destroy weeds), and family men (working at home).</w:t>
      </w:r>
      <w:r>
        <w:rPr>
          <w:rStyle w:val="FootnoteAnchor"/>
          <w:color w:val="000000"/>
        </w:rPr>
        <w:footnoteReference w:id="29"/>
      </w:r>
      <w:r>
        <w:rPr>
          <w:noProof/>
          <w:lang w:val="en-US" w:eastAsia="en-US" w:bidi="ar-SA"/>
        </w:rPr>
        <mc:AlternateContent>
          <mc:Choice Requires="wps">
            <w:drawing>
              <wp:anchor distT="0" distB="0" distL="0" distR="0" simplePos="0" relativeHeight="2" behindDoc="0" locked="0" layoutInCell="1" allowOverlap="1" wp14:anchorId="050ED9B4" wp14:editId="25C27F8C">
                <wp:simplePos x="0" y="0"/>
                <wp:positionH relativeFrom="column">
                  <wp:align>center</wp:align>
                </wp:positionH>
                <wp:positionV relativeFrom="paragraph">
                  <wp:align>top</wp:align>
                </wp:positionV>
                <wp:extent cx="3600450" cy="4056380"/>
                <wp:effectExtent l="0" t="0" r="0" b="0"/>
                <wp:wrapSquare wrapText="largest"/>
                <wp:docPr id="4" name="Frame15"/>
                <wp:cNvGraphicFramePr/>
                <a:graphic xmlns:a="http://schemas.openxmlformats.org/drawingml/2006/main">
                  <a:graphicData uri="http://schemas.microsoft.com/office/word/2010/wordprocessingShape">
                    <wps:wsp>
                      <wps:cNvSpPr txBox="1"/>
                      <wps:spPr>
                        <a:xfrm>
                          <a:off x="0" y="0"/>
                          <a:ext cx="3600450" cy="4056380"/>
                        </a:xfrm>
                        <a:prstGeom prst="rect">
                          <a:avLst/>
                        </a:prstGeom>
                      </wps:spPr>
                      <wps:txbx>
                        <w:txbxContent>
                          <w:p w14:paraId="7A47532B"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42C8B8B4" wp14:editId="2962A7C9">
                                  <wp:extent cx="3600450" cy="327914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1"/>
                                          <a:stretch>
                                            <a:fillRect/>
                                          </a:stretch>
                                        </pic:blipFill>
                                        <pic:spPr bwMode="auto">
                                          <a:xfrm>
                                            <a:off x="0" y="0"/>
                                            <a:ext cx="3600450" cy="327914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xml:space="preserve">: Waging War on Weeds: a profoundly peaceful image of the war in this garden. The container beside her is not for domestic </w:t>
                            </w:r>
                            <w:proofErr w:type="spellStart"/>
                            <w:r>
                              <w:t>Weedol</w:t>
                            </w:r>
                            <w:proofErr w:type="spellEnd"/>
                            <w:r>
                              <w:t xml:space="preserve">, it looks awfully like one for non-domestic </w:t>
                            </w:r>
                            <w:proofErr w:type="spellStart"/>
                            <w:r>
                              <w:t>Gramoxone</w:t>
                            </w:r>
                            <w:proofErr w:type="spellEnd"/>
                            <w:r>
                              <w:t>.</w:t>
                            </w:r>
                          </w:p>
                        </w:txbxContent>
                      </wps:txbx>
                      <wps:bodyPr lIns="0" tIns="0" rIns="0" bIns="0" anchor="t">
                        <a:noAutofit/>
                      </wps:bodyPr>
                    </wps:wsp>
                  </a:graphicData>
                </a:graphic>
              </wp:anchor>
            </w:drawing>
          </mc:Choice>
          <mc:Fallback>
            <w:pict>
              <v:shape w14:anchorId="050ED9B4" id="Frame15" o:spid="_x0000_s1027" type="#_x0000_t202" style="position:absolute;margin-left:0;margin-top:0;width:283.5pt;height:319.4pt;z-index:2;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" filled="f" stroked="f">
                <v:textbox inset="0,0,0,0">
                  <w:txbxContent>
                    <w:p w14:paraId="7A47532B"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42C8B8B4" wp14:editId="2962A7C9">
                            <wp:extent cx="3600450" cy="327914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1"/>
                                    <a:stretch>
                                      <a:fillRect/>
                                    </a:stretch>
                                  </pic:blipFill>
                                  <pic:spPr bwMode="auto">
                                    <a:xfrm>
                                      <a:off x="0" y="0"/>
                                      <a:ext cx="3600450" cy="327914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xml:space="preserve">: Waging War on Weeds: a profoundly peaceful image of the war in this garden. The container beside her is not for domestic </w:t>
                      </w:r>
                      <w:proofErr w:type="spellStart"/>
                      <w:r>
                        <w:t>Weedol</w:t>
                      </w:r>
                      <w:proofErr w:type="spellEnd"/>
                      <w:r>
                        <w:t xml:space="preserve">, it looks awfully like one for non-domestic </w:t>
                      </w:r>
                      <w:proofErr w:type="spellStart"/>
                      <w:r>
                        <w:t>Gramoxone</w:t>
                      </w:r>
                      <w:proofErr w:type="spellEnd"/>
                      <w:r>
                        <w:t>.</w:t>
                      </w:r>
                    </w:p>
                  </w:txbxContent>
                </v:textbox>
                <w10:wrap type="square" side="largest"/>
              </v:shape>
            </w:pict>
          </mc:Fallback>
        </mc:AlternateContent>
      </w:r>
    </w:p>
    <w:p w14:paraId="78922ADD" w14:textId="77777777" w:rsidR="008835C2" w:rsidRDefault="008835C2">
      <w:pPr>
        <w:tabs>
          <w:tab w:val="left" w:pos="7725"/>
        </w:tabs>
        <w:spacing w:line="480" w:lineRule="auto"/>
        <w:rPr>
          <w:rFonts w:hint="eastAsia"/>
        </w:rPr>
      </w:pPr>
    </w:p>
    <w:p w14:paraId="1A834B5C" w14:textId="77777777" w:rsidR="008835C2" w:rsidRDefault="00F950D0">
      <w:pPr>
        <w:tabs>
          <w:tab w:val="left" w:pos="7725"/>
        </w:tabs>
        <w:spacing w:line="480" w:lineRule="auto"/>
        <w:rPr>
          <w:rFonts w:hint="eastAsia"/>
        </w:rPr>
      </w:pPr>
      <w:r>
        <w:rPr>
          <w:color w:val="000000"/>
        </w:rPr>
        <w:lastRenderedPageBreak/>
        <w:t>Another theme that emerged was that of using chemicals at home was often done in solitude, which conflicts with the idea that skilled handling of chemicals was better learned in person, rather than from the printed page. In order to avoid dangers associated with chemicals this was how chemicals should be used, that housework should be invisible, that there was less chance of disruption and therefore poor results if a person worked alone in a darkroom. This isolation interrupted passing on knowledge about chemicals, making them more easily displaced by products deemed safer and therefore able to be used with less strict controls. Advertisements reflect an idea of what happens in real and may shape what users go on to do with that product.</w:t>
      </w:r>
    </w:p>
    <w:p w14:paraId="39EED1A1" w14:textId="77777777" w:rsidR="008835C2" w:rsidRDefault="00F950D0">
      <w:pPr>
        <w:tabs>
          <w:tab w:val="left" w:pos="7725"/>
        </w:tabs>
        <w:spacing w:line="480" w:lineRule="auto"/>
        <w:rPr>
          <w:rFonts w:hint="eastAsia"/>
        </w:rPr>
      </w:pPr>
      <w:r>
        <w:rPr>
          <w:color w:val="000000"/>
        </w:rPr>
        <w:t>The depiction of a lone person able to combat all the weeds in their garden thanks to chemical assistance is common in herbicide advertising. This also reflects the pursuit of gardening as something that could be pursued alone, or as a joint project.</w:t>
      </w:r>
      <w:r>
        <w:rPr>
          <w:rStyle w:val="FootnoteAnchor"/>
          <w:color w:val="000000"/>
        </w:rPr>
        <w:footnoteReference w:id="30"/>
      </w:r>
      <w:r>
        <w:rPr>
          <w:color w:val="000000"/>
        </w:rPr>
        <w:t xml:space="preserve"> Mass Observation diarist </w:t>
      </w:r>
      <w:proofErr w:type="spellStart"/>
      <w:r>
        <w:rPr>
          <w:color w:val="000000"/>
        </w:rPr>
        <w:t>Nella</w:t>
      </w:r>
      <w:proofErr w:type="spellEnd"/>
      <w:r>
        <w:rPr>
          <w:color w:val="000000"/>
        </w:rPr>
        <w:t xml:space="preserve"> Last often wrote about garden activities that she undertook alone, as well as those that she instructed her husband to do. Sometimes the Last's hired a young man to help with tasks while they worked with him in the garden. Gardening was not always a source of harmony, thanks to Will Last's tenancy to criticise his wife's efforts, but at various times they both undertook weeding duties. Herbicides were never referred to or named by </w:t>
      </w:r>
      <w:proofErr w:type="spellStart"/>
      <w:r>
        <w:rPr>
          <w:color w:val="000000"/>
        </w:rPr>
        <w:t>Nella</w:t>
      </w:r>
      <w:proofErr w:type="spellEnd"/>
      <w:r>
        <w:rPr>
          <w:color w:val="000000"/>
        </w:rPr>
        <w:t>, who wished that they could concrete in the joins of the crazy path to cut down on the weeding.</w:t>
      </w:r>
      <w:r>
        <w:rPr>
          <w:rStyle w:val="FootnoteAnchor"/>
          <w:color w:val="000000"/>
        </w:rPr>
        <w:footnoteReference w:id="31"/>
      </w:r>
      <w:r>
        <w:rPr>
          <w:color w:val="000000"/>
        </w:rPr>
        <w:t xml:space="preserve"> However, companionable chemical garden care was also illustrated in Illustration 3 of a 1970s advertisement for Murphy's range of garden chemicals, which shows  a husband and wife working together. </w:t>
      </w:r>
    </w:p>
    <w:p w14:paraId="19ECD2BA" w14:textId="77777777" w:rsidR="008835C2" w:rsidRDefault="00F950D0">
      <w:pPr>
        <w:tabs>
          <w:tab w:val="left" w:pos="7725"/>
        </w:tabs>
        <w:spacing w:line="480" w:lineRule="auto"/>
        <w:rPr>
          <w:rFonts w:hint="eastAsia"/>
        </w:rPr>
      </w:pPr>
      <w:r>
        <w:rPr>
          <w:noProof/>
          <w:lang w:val="en-US" w:eastAsia="en-US" w:bidi="ar-SA"/>
        </w:rPr>
        <mc:AlternateContent>
          <mc:Choice Requires="wps">
            <w:drawing>
              <wp:anchor distT="0" distB="0" distL="0" distR="0" simplePos="0" relativeHeight="8" behindDoc="0" locked="0" layoutInCell="1" allowOverlap="1" wp14:anchorId="31A3D755" wp14:editId="75889791">
                <wp:simplePos x="0" y="0"/>
                <wp:positionH relativeFrom="column">
                  <wp:align>right</wp:align>
                </wp:positionH>
                <wp:positionV relativeFrom="paragraph">
                  <wp:align>top</wp:align>
                </wp:positionV>
                <wp:extent cx="2160270" cy="4004310"/>
                <wp:effectExtent l="0" t="0" r="0" b="0"/>
                <wp:wrapSquare wrapText="largest"/>
                <wp:docPr id="7" name="Frame11"/>
                <wp:cNvGraphicFramePr/>
                <a:graphic xmlns:a="http://schemas.openxmlformats.org/drawingml/2006/main">
                  <a:graphicData uri="http://schemas.microsoft.com/office/word/2010/wordprocessingShape">
                    <wps:wsp>
                      <wps:cNvSpPr txBox="1"/>
                      <wps:spPr>
                        <a:xfrm>
                          <a:off x="0" y="0"/>
                          <a:ext cx="2160270" cy="4004310"/>
                        </a:xfrm>
                        <a:prstGeom prst="rect">
                          <a:avLst/>
                        </a:prstGeom>
                      </wps:spPr>
                      <wps:txbx>
                        <w:txbxContent>
                          <w:p w14:paraId="684FEABE"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48CB8E0E" wp14:editId="4415863A">
                                  <wp:extent cx="2160270" cy="287655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bwMode="auto">
                                          <a:xfrm>
                                            <a:off x="0" y="0"/>
                                            <a:ext cx="2160270" cy="287655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Garden chemical advert showing typically gendered gardening: the man tends the lawn while the woman treats the roses. Unusually, the man is labouring, bent over, instead of at leisure.</w:t>
                            </w:r>
                          </w:p>
                        </w:txbxContent>
                      </wps:txbx>
                      <wps:bodyPr lIns="0" tIns="0" rIns="0" bIns="0" anchor="t">
                        <a:noAutofit/>
                      </wps:bodyPr>
                    </wps:wsp>
                  </a:graphicData>
                </a:graphic>
              </wp:anchor>
            </w:drawing>
          </mc:Choice>
          <mc:Fallback>
            <w:pict>
              <v:shape w14:anchorId="31A3D755" id="Frame11" o:spid="_x0000_s1028" type="#_x0000_t202" style="position:absolute;margin-left:118.9pt;margin-top:0;width:170.1pt;height:315.3pt;z-index:8;visibility:visible;mso-wrap-style:square;mso-wrap-distance-left:0;mso-wrap-distance-top:0;mso-wrap-distance-right:0;mso-wrap-distance-bottom:0;mso-position-horizontal:righ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" filled="f" stroked="f">
                <v:textbox inset="0,0,0,0">
                  <w:txbxContent>
                    <w:p w14:paraId="684FEABE"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48CB8E0E" wp14:editId="4415863A">
                            <wp:extent cx="2160270" cy="287655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bwMode="auto">
                                    <a:xfrm>
                                      <a:off x="0" y="0"/>
                                      <a:ext cx="2160270" cy="287655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3</w:t>
                      </w:r>
                      <w:r>
                        <w:fldChar w:fldCharType="end"/>
                      </w:r>
                      <w:r>
                        <w:t>: Garden chemical advert showing typically gendered gardening: the man tends the lawn while the woman treats the roses. Unusually, the man is labouring, bent over, instead of at leisure.</w:t>
                      </w:r>
                    </w:p>
                  </w:txbxContent>
                </v:textbox>
                <w10:wrap type="square" side="largest"/>
              </v:shape>
            </w:pict>
          </mc:Fallback>
        </mc:AlternateContent>
      </w:r>
    </w:p>
    <w:p w14:paraId="2D5CD6C1" w14:textId="77777777" w:rsidR="008835C2" w:rsidRDefault="00F950D0">
      <w:pPr>
        <w:spacing w:line="480" w:lineRule="auto"/>
        <w:rPr>
          <w:rFonts w:hint="eastAsia"/>
        </w:rPr>
      </w:pPr>
      <w:r>
        <w:t xml:space="preserve">The </w:t>
      </w:r>
      <w:proofErr w:type="spellStart"/>
      <w:r>
        <w:t>Lornox</w:t>
      </w:r>
      <w:proofErr w:type="spellEnd"/>
      <w:r>
        <w:t xml:space="preserve"> material illustrated below is not subtle; lawns were most often cared for by men, but </w:t>
      </w:r>
      <w:proofErr w:type="spellStart"/>
      <w:r>
        <w:t>Lornox</w:t>
      </w:r>
      <w:proofErr w:type="spellEnd"/>
      <w:r>
        <w:t xml:space="preserve"> is so easy, safe and simple to use that a woman can do it, even a child. In a rare </w:t>
      </w:r>
      <w:r>
        <w:lastRenderedPageBreak/>
        <w:t xml:space="preserve">example of the "like magic" trope, generally not applied to garden chemicals, </w:t>
      </w:r>
      <w:proofErr w:type="gramStart"/>
      <w:r>
        <w:t>this  bottle</w:t>
      </w:r>
      <w:proofErr w:type="gramEnd"/>
      <w:r>
        <w:t xml:space="preserve"> of </w:t>
      </w:r>
      <w:proofErr w:type="spellStart"/>
      <w:r>
        <w:t>Lornox</w:t>
      </w:r>
      <w:proofErr w:type="spellEnd"/>
      <w:r>
        <w:t xml:space="preserve"> has become a pixie who has a miniature watering can to 'kill the weeds like magic' and energetically threaten the terrified weeds, much to the pleasure of the smiling grass, but the booklet's front page showed us in reality that a human would be doing the work. </w:t>
      </w:r>
    </w:p>
    <w:p w14:paraId="5DA771E5" w14:textId="77777777" w:rsidR="008835C2" w:rsidRDefault="00F950D0">
      <w:pPr>
        <w:spacing w:line="480" w:lineRule="auto"/>
        <w:rPr>
          <w:rFonts w:hint="eastAsia"/>
        </w:rPr>
      </w:pPr>
      <w:r>
        <w:rPr>
          <w:noProof/>
          <w:lang w:val="en-US" w:eastAsia="en-US" w:bidi="ar-SA"/>
        </w:rPr>
        <mc:AlternateContent>
          <mc:Choice Requires="wps">
            <w:drawing>
              <wp:anchor distT="0" distB="0" distL="0" distR="0" simplePos="0" relativeHeight="4" behindDoc="0" locked="0" layoutInCell="1" allowOverlap="1" wp14:anchorId="142B7EA7" wp14:editId="63A69293">
                <wp:simplePos x="0" y="0"/>
                <wp:positionH relativeFrom="column">
                  <wp:posOffset>19685</wp:posOffset>
                </wp:positionH>
                <wp:positionV relativeFrom="paragraph">
                  <wp:posOffset>3477260</wp:posOffset>
                </wp:positionV>
                <wp:extent cx="6096000" cy="4005580"/>
                <wp:effectExtent l="0" t="0" r="0" b="0"/>
                <wp:wrapSquare wrapText="bothSides"/>
                <wp:docPr id="10" name="Frame13"/>
                <wp:cNvGraphicFramePr/>
                <a:graphic xmlns:a="http://schemas.openxmlformats.org/drawingml/2006/main">
                  <a:graphicData uri="http://schemas.microsoft.com/office/word/2010/wordprocessingShape">
                    <wps:wsp>
                      <wps:cNvSpPr txBox="1"/>
                      <wps:spPr>
                        <a:xfrm>
                          <a:off x="0" y="0"/>
                          <a:ext cx="6096000" cy="4005580"/>
                        </a:xfrm>
                        <a:prstGeom prst="rect">
                          <a:avLst/>
                        </a:prstGeom>
                        <a:solidFill>
                          <a:srgbClr val="FFFFFF">
                            <a:alpha val="0"/>
                          </a:srgbClr>
                        </a:solidFill>
                        <a:ln w="635">
                          <a:solidFill>
                            <a:srgbClr val="000000"/>
                          </a:solidFill>
                        </a:ln>
                      </wps:spPr>
                      <wps:txbx>
                        <w:txbxContent>
                          <w:p w14:paraId="1C91DDC6" w14:textId="77777777" w:rsidR="008835C2" w:rsidRDefault="00F950D0">
                            <w:pPr>
                              <w:pStyle w:val="FrameContents"/>
                              <w:rPr>
                                <w:rFonts w:hint="eastAsia"/>
                              </w:rPr>
                            </w:pPr>
                            <w:r>
                              <w:rPr>
                                <w:noProof/>
                                <w:lang w:val="en-US" w:eastAsia="en-US" w:bidi="ar-SA"/>
                              </w:rPr>
                              <w:drawing>
                                <wp:inline distT="0" distB="0" distL="0" distR="0" wp14:anchorId="08CB426E" wp14:editId="78C023E4">
                                  <wp:extent cx="2160270" cy="329057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3"/>
                                          <a:stretch>
                                            <a:fillRect/>
                                          </a:stretch>
                                        </pic:blipFill>
                                        <pic:spPr bwMode="auto">
                                          <a:xfrm>
                                            <a:off x="0" y="0"/>
                                            <a:ext cx="2160270" cy="3290570"/>
                                          </a:xfrm>
                                          <a:prstGeom prst="rect">
                                            <a:avLst/>
                                          </a:prstGeom>
                                          <a:noFill/>
                                          <a:ln w="9525">
                                            <a:noFill/>
                                            <a:miter lim="800000"/>
                                            <a:headEnd/>
                                            <a:tailEnd/>
                                          </a:ln>
                                        </pic:spPr>
                                      </pic:pic>
                                    </a:graphicData>
                                  </a:graphic>
                                </wp:inline>
                              </w:drawing>
                            </w:r>
                          </w:p>
                          <w:p w14:paraId="22F5A795"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7E2DC8ED" wp14:editId="3D8229E7">
                                  <wp:extent cx="2879725" cy="119507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4"/>
                                          <a:stretch>
                                            <a:fillRect/>
                                          </a:stretch>
                                        </pic:blipFill>
                                        <pic:spPr bwMode="auto">
                                          <a:xfrm>
                                            <a:off x="0" y="0"/>
                                            <a:ext cx="2879725" cy="1195070"/>
                                          </a:xfrm>
                                          <a:prstGeom prst="rect">
                                            <a:avLst/>
                                          </a:prstGeom>
                                          <a:noFill/>
                                          <a:ln w="9525">
                                            <a:noFill/>
                                            <a:miter lim="800000"/>
                                            <a:headEnd/>
                                            <a:tailEnd/>
                                          </a:ln>
                                        </pic:spPr>
                                      </pic:pic>
                                    </a:graphicData>
                                  </a:graphic>
                                </wp:inline>
                              </w:drawing>
                            </w:r>
                            <w:r>
                              <w:rPr>
                                <w:noProof/>
                                <w:lang w:val="en-US" w:eastAsia="en-US" w:bidi="ar-SA"/>
                              </w:rPr>
                              <w:drawing>
                                <wp:inline distT="0" distB="0" distL="0" distR="0" wp14:anchorId="458E5BDC" wp14:editId="0166D1B4">
                                  <wp:extent cx="2341245" cy="16129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5"/>
                                          <a:stretch>
                                            <a:fillRect/>
                                          </a:stretch>
                                        </pic:blipFill>
                                        <pic:spPr bwMode="auto">
                                          <a:xfrm>
                                            <a:off x="0" y="0"/>
                                            <a:ext cx="2341245" cy="16129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Images from a 1948 promotional booklet showing the ease and overall simplicity of using this new chemical </w:t>
                            </w:r>
                            <w:proofErr w:type="spellStart"/>
                            <w:r>
                              <w:t>weedkiller</w:t>
                            </w:r>
                            <w:proofErr w:type="spellEnd"/>
                            <w:r>
                              <w:t xml:space="preserve"> from Boots. </w:t>
                            </w:r>
                          </w:p>
                          <w:p w14:paraId="452AD0E0" w14:textId="77777777" w:rsidR="008835C2" w:rsidRDefault="00F950D0">
                            <w:pPr>
                              <w:pStyle w:val="Illustration"/>
                              <w:rPr>
                                <w:rFonts w:hint="eastAsia"/>
                              </w:rPr>
                            </w:pPr>
                            <w:r>
                              <w:t>(Boots Archive, Nottingham)</w:t>
                            </w:r>
                          </w:p>
                        </w:txbxContent>
                      </wps:txbx>
                      <wps:bodyPr lIns="53975" tIns="53975" rIns="53975" bIns="53975" anchor="t">
                        <a:noAutofit/>
                      </wps:bodyPr>
                    </wps:wsp>
                  </a:graphicData>
                </a:graphic>
              </wp:anchor>
            </w:drawing>
          </mc:Choice>
          <mc:Fallback>
            <w:pict>
              <v:shape w14:anchorId="142B7EA7" id="Frame13" o:spid="_x0000_s1029" type="#_x0000_t202" style="position:absolute;margin-left:1.55pt;margin-top:273.8pt;width:480pt;height:315.4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" strokeweight=".05pt">
                <v:fill opacity="0"/>
                <v:textbox inset="4.25pt,4.25pt,4.25pt,4.25pt">
                  <w:txbxContent>
                    <w:p w14:paraId="1C91DDC6" w14:textId="77777777" w:rsidR="008835C2" w:rsidRDefault="00F950D0">
                      <w:pPr>
                        <w:pStyle w:val="FrameContents"/>
                        <w:rPr>
                          <w:rFonts w:hint="eastAsia"/>
                        </w:rPr>
                      </w:pPr>
                      <w:r>
                        <w:rPr>
                          <w:noProof/>
                          <w:lang w:val="en-US" w:eastAsia="en-US" w:bidi="ar-SA"/>
                        </w:rPr>
                        <w:drawing>
                          <wp:inline distT="0" distB="0" distL="0" distR="0" wp14:anchorId="08CB426E" wp14:editId="78C023E4">
                            <wp:extent cx="2160270" cy="329057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3"/>
                                    <a:stretch>
                                      <a:fillRect/>
                                    </a:stretch>
                                  </pic:blipFill>
                                  <pic:spPr bwMode="auto">
                                    <a:xfrm>
                                      <a:off x="0" y="0"/>
                                      <a:ext cx="2160270" cy="3290570"/>
                                    </a:xfrm>
                                    <a:prstGeom prst="rect">
                                      <a:avLst/>
                                    </a:prstGeom>
                                    <a:noFill/>
                                    <a:ln w="9525">
                                      <a:noFill/>
                                      <a:miter lim="800000"/>
                                      <a:headEnd/>
                                      <a:tailEnd/>
                                    </a:ln>
                                  </pic:spPr>
                                </pic:pic>
                              </a:graphicData>
                            </a:graphic>
                          </wp:inline>
                        </w:drawing>
                      </w:r>
                    </w:p>
                    <w:p w14:paraId="22F5A795" w14:textId="77777777" w:rsidR="008835C2" w:rsidRDefault="00F950D0">
                      <w:pPr>
                        <w:pStyle w:val="Illustration"/>
                        <w:rPr>
                          <w:rFonts w:hint="eastAsia"/>
                        </w:rPr>
                      </w:pPr>
                      <w:r>
                        <w:t xml:space="preserve">Illustration </w:t>
                      </w:r>
                      <w:r>
                        <w:rPr>
                          <w:noProof/>
                          <w:lang w:val="en-US" w:eastAsia="en-US" w:bidi="ar-SA"/>
                        </w:rPr>
                        <w:drawing>
                          <wp:inline distT="0" distB="0" distL="0" distR="0" wp14:anchorId="7E2DC8ED" wp14:editId="3D8229E7">
                            <wp:extent cx="2879725" cy="119507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4"/>
                                    <a:stretch>
                                      <a:fillRect/>
                                    </a:stretch>
                                  </pic:blipFill>
                                  <pic:spPr bwMode="auto">
                                    <a:xfrm>
                                      <a:off x="0" y="0"/>
                                      <a:ext cx="2879725" cy="1195070"/>
                                    </a:xfrm>
                                    <a:prstGeom prst="rect">
                                      <a:avLst/>
                                    </a:prstGeom>
                                    <a:noFill/>
                                    <a:ln w="9525">
                                      <a:noFill/>
                                      <a:miter lim="800000"/>
                                      <a:headEnd/>
                                      <a:tailEnd/>
                                    </a:ln>
                                  </pic:spPr>
                                </pic:pic>
                              </a:graphicData>
                            </a:graphic>
                          </wp:inline>
                        </w:drawing>
                      </w:r>
                      <w:r>
                        <w:rPr>
                          <w:noProof/>
                          <w:lang w:val="en-US" w:eastAsia="en-US" w:bidi="ar-SA"/>
                        </w:rPr>
                        <w:drawing>
                          <wp:inline distT="0" distB="0" distL="0" distR="0" wp14:anchorId="458E5BDC" wp14:editId="0166D1B4">
                            <wp:extent cx="2341245" cy="16129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5"/>
                                    <a:stretch>
                                      <a:fillRect/>
                                    </a:stretch>
                                  </pic:blipFill>
                                  <pic:spPr bwMode="auto">
                                    <a:xfrm>
                                      <a:off x="0" y="0"/>
                                      <a:ext cx="2341245" cy="16129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Images from a 1948 promotional booklet showing the ease and overall simplicity of using this new chemical </w:t>
                      </w:r>
                      <w:proofErr w:type="spellStart"/>
                      <w:r>
                        <w:t>weedkiller</w:t>
                      </w:r>
                      <w:proofErr w:type="spellEnd"/>
                      <w:r>
                        <w:t xml:space="preserve"> from Boots. </w:t>
                      </w:r>
                    </w:p>
                    <w:p w14:paraId="452AD0E0" w14:textId="77777777" w:rsidR="008835C2" w:rsidRDefault="00F950D0">
                      <w:pPr>
                        <w:pStyle w:val="Illustration"/>
                        <w:rPr>
                          <w:rFonts w:hint="eastAsia"/>
                        </w:rPr>
                      </w:pPr>
                      <w:r>
                        <w:t>(Boots Archive, Nottingham)</w:t>
                      </w:r>
                    </w:p>
                  </w:txbxContent>
                </v:textbox>
                <w10:wrap type="square"/>
              </v:shape>
            </w:pict>
          </mc:Fallback>
        </mc:AlternateContent>
      </w:r>
    </w:p>
    <w:p w14:paraId="7BC9387A" w14:textId="77777777" w:rsidR="008835C2" w:rsidRDefault="00F950D0">
      <w:pPr>
        <w:spacing w:line="480" w:lineRule="auto"/>
        <w:rPr>
          <w:rFonts w:hint="eastAsia"/>
        </w:rPr>
      </w:pPr>
      <w:r>
        <w:t xml:space="preserve">Contrary to what </w:t>
      </w:r>
      <w:proofErr w:type="spellStart"/>
      <w:r>
        <w:t>Jessamyn</w:t>
      </w:r>
      <w:proofErr w:type="spellEnd"/>
      <w:r>
        <w:t xml:space="preserve"> </w:t>
      </w:r>
      <w:proofErr w:type="spellStart"/>
      <w:r>
        <w:t>Neuhaus</w:t>
      </w:r>
      <w:proofErr w:type="spellEnd"/>
      <w:r>
        <w:t xml:space="preserve"> noticed in her study of housework in American advertising, where household cleaning products were regularly portrayed as anthropomorphised servants under the influence of the housewife, </w:t>
      </w:r>
      <w:proofErr w:type="spellStart"/>
      <w:r>
        <w:t>weedkiller</w:t>
      </w:r>
      <w:proofErr w:type="spellEnd"/>
      <w:r>
        <w:t xml:space="preserve"> advertising very rarely used this trope. Although it is hard to say from the illustrated hands and feet that appeared in </w:t>
      </w:r>
      <w:proofErr w:type="spellStart"/>
      <w:r>
        <w:t>weedkiller</w:t>
      </w:r>
      <w:proofErr w:type="spellEnd"/>
      <w:r>
        <w:t xml:space="preserve"> adverts that they were not those of a hired gardener, where a more complete image of the product user appeared they appeared leisurely rather than busy. In balance, that chemicals were not generally taking the place of hired help supports Constantine's notion that generally gardening was done by the home dweller. However, </w:t>
      </w:r>
      <w:proofErr w:type="spellStart"/>
      <w:r>
        <w:t>Lornox</w:t>
      </w:r>
      <w:proofErr w:type="spellEnd"/>
      <w:r>
        <w:t xml:space="preserve"> provides an exception to this rule, as well as the rule that children and </w:t>
      </w:r>
      <w:proofErr w:type="spellStart"/>
      <w:r>
        <w:t>weedkillers</w:t>
      </w:r>
      <w:proofErr w:type="spellEnd"/>
      <w:r>
        <w:t xml:space="preserve"> should be kept separate. </w:t>
      </w:r>
    </w:p>
    <w:p w14:paraId="71889BCD" w14:textId="77777777" w:rsidR="008835C2" w:rsidRDefault="00F950D0">
      <w:pPr>
        <w:pStyle w:val="Heading2"/>
        <w:rPr>
          <w:rFonts w:hint="eastAsia"/>
        </w:rPr>
      </w:pPr>
      <w:r>
        <w:lastRenderedPageBreak/>
        <w:t>Poisoners</w:t>
      </w:r>
    </w:p>
    <w:p w14:paraId="20CDEE80" w14:textId="77777777" w:rsidR="008835C2" w:rsidRDefault="00F950D0">
      <w:pPr>
        <w:spacing w:line="480" w:lineRule="auto"/>
        <w:rPr>
          <w:rFonts w:hint="eastAsia"/>
        </w:rPr>
      </w:pPr>
      <w:r>
        <w:t xml:space="preserve">The character of the paraquat misusers were described as adulterous, jealous men and women, in turbulent, unconventional relationships that made for grippingly sordid, salacious news. I say misusers, because not only were the poisoners themselves described in these terms, but their victims, the unwitting misusers of paraquat, also had these negative descriptions applied to them. </w:t>
      </w:r>
      <w:r>
        <w:commentReference w:id="2"/>
      </w:r>
      <w:r>
        <w:t>Poisoning is often thought of as a method used predominantly by women as a method of despatch not reliant on physical strength,</w:t>
      </w:r>
      <w:r>
        <w:rPr>
          <w:rStyle w:val="FootnoteAnchor"/>
        </w:rPr>
        <w:footnoteReference w:id="32"/>
      </w:r>
      <w:r>
        <w:t xml:space="preserve"> but in the cases reported on in the newspapers it was used about equally by men. </w:t>
      </w:r>
    </w:p>
    <w:p w14:paraId="1743750D" w14:textId="77777777" w:rsidR="008835C2" w:rsidRDefault="008835C2">
      <w:pPr>
        <w:spacing w:line="480" w:lineRule="auto"/>
        <w:rPr>
          <w:rFonts w:hint="eastAsia"/>
        </w:rPr>
      </w:pPr>
    </w:p>
    <w:p w14:paraId="11EE3151" w14:textId="77777777" w:rsidR="008835C2" w:rsidRDefault="00F950D0">
      <w:pPr>
        <w:pStyle w:val="Heading2"/>
        <w:rPr>
          <w:rFonts w:hint="eastAsia"/>
          <w:color w:val="000000"/>
        </w:rPr>
      </w:pPr>
      <w:r>
        <w:rPr>
          <w:color w:val="000000"/>
        </w:rPr>
        <w:t>Prisoners</w:t>
      </w:r>
    </w:p>
    <w:p w14:paraId="79E6AFBD" w14:textId="77777777" w:rsidR="008835C2" w:rsidRDefault="00F950D0">
      <w:pPr>
        <w:spacing w:after="240" w:line="480" w:lineRule="auto"/>
        <w:rPr>
          <w:rFonts w:hint="eastAsia"/>
        </w:rPr>
      </w:pPr>
      <w:r>
        <w:rPr>
          <w:color w:val="000000"/>
        </w:rPr>
        <w:t>When hunting for stories about household chemicals, another domestic situation arose for consideration. While it is not homely and does not spring to mind as a safe, protective, environment, people live in prison for considerable periods of time, performing all sorts of domestic activities there. Befitting the setting these were stories of chemical misuse, though not always from the inmates. Prisoners made an escape bid using an 'ammonia spray' made from water and six bottles of 'toilet-cleaning bleach'; the mixture blinded a police dog.</w:t>
      </w:r>
      <w:r>
        <w:rPr>
          <w:rStyle w:val="FootnoteAnchor"/>
          <w:color w:val="000000"/>
        </w:rPr>
        <w:footnoteReference w:id="33"/>
      </w:r>
      <w:r>
        <w:rPr>
          <w:color w:val="000000"/>
        </w:rPr>
        <w:t xml:space="preserve"> An example given to demonstrate the vindictiveness of prison officers was of Harpic being poured into a fish tank that had taken years to establish.</w:t>
      </w:r>
      <w:r>
        <w:rPr>
          <w:rStyle w:val="FootnoteAnchor"/>
          <w:color w:val="000000"/>
        </w:rPr>
        <w:footnoteReference w:id="34"/>
      </w:r>
      <w:r>
        <w:rPr>
          <w:color w:val="000000"/>
        </w:rPr>
        <w:t xml:space="preserve"> A 42 year old man awaiting sentence for murder at Brixton prison used paraquat for the purpose of suicide, a rarity as asphyxiation or cutting were the most common, presumably as access to such poisons is usually unlikely.</w:t>
      </w:r>
      <w:r>
        <w:rPr>
          <w:rStyle w:val="FootnoteAnchor"/>
          <w:color w:val="000000"/>
        </w:rPr>
        <w:footnoteReference w:id="35"/>
      </w:r>
      <w:r>
        <w:rPr>
          <w:color w:val="000000"/>
        </w:rPr>
        <w:t xml:space="preserve"> </w:t>
      </w:r>
    </w:p>
    <w:p w14:paraId="21F0D229" w14:textId="77777777" w:rsidR="008835C2" w:rsidRDefault="008835C2">
      <w:pPr>
        <w:spacing w:after="240" w:line="480" w:lineRule="auto"/>
        <w:rPr>
          <w:rFonts w:hint="eastAsia"/>
          <w:color w:val="000000"/>
        </w:rPr>
      </w:pPr>
    </w:p>
    <w:p w14:paraId="2EBB22F9" w14:textId="77777777" w:rsidR="008835C2" w:rsidRDefault="00F950D0">
      <w:pPr>
        <w:spacing w:after="240" w:line="480" w:lineRule="auto"/>
        <w:rPr>
          <w:rFonts w:hint="eastAsia"/>
          <w:color w:val="000000"/>
        </w:rPr>
      </w:pPr>
      <w:r>
        <w:rPr>
          <w:color w:val="000000"/>
        </w:rPr>
        <w:t>Solvent abuse</w:t>
      </w:r>
    </w:p>
    <w:p w14:paraId="5C396726" w14:textId="77777777" w:rsidR="008835C2" w:rsidRDefault="00F950D0">
      <w:pPr>
        <w:spacing w:line="480" w:lineRule="auto"/>
        <w:rPr>
          <w:rFonts w:hint="eastAsia"/>
        </w:rPr>
      </w:pPr>
      <w:r>
        <w:lastRenderedPageBreak/>
        <w:t xml:space="preserve">Related to this </w:t>
      </w:r>
      <w:proofErr w:type="spellStart"/>
      <w:r>
        <w:t>medicalised</w:t>
      </w:r>
      <w:proofErr w:type="spellEnd"/>
      <w:r>
        <w:t xml:space="preserve"> use as an anaesthetic, came an example of a misadventure with the chemical when used anaesthetically in domestic circumstances. Newspapers carried the story of the death in 1960 of Mrs Cobbett, a married woman pregnant with twins, who died after inhaling the chemical, as directed by her lover Leonard Pike. It emerged during the trial that he had supervised consensual and repeated CTC intoxications to at least one other woman.</w:t>
      </w:r>
      <w:r>
        <w:rPr>
          <w:rStyle w:val="FootnoteAnchor"/>
        </w:rPr>
        <w:footnoteReference w:id="36"/>
      </w:r>
      <w:r>
        <w:t xml:space="preserve"> The effect was described as similar to a 'couple of gins', but could completely knock a person out who would then be unaware of their surroundings or what was happening to them. Expert witness J. Payne reflected on the case, having interviewed Pike and found that he had learned to use carbon tetrachloride as an anaesthetic while in the Pioneer Corps, when he and a colleague carried out illicit abortions on young women in Aldershot. Pike had observed that during the induction of anaesthesia some women became sexually aroused, which Payne acknowledged as a little known property of quite a few anaesthetic compounds. It was from this </w:t>
      </w:r>
      <w:proofErr w:type="spellStart"/>
      <w:r>
        <w:t>medicalised</w:t>
      </w:r>
      <w:proofErr w:type="spellEnd"/>
      <w:r>
        <w:t xml:space="preserve"> experience that Pike came to use carbon tetrachloride as an aphrodisiac in a domestic setting.</w:t>
      </w:r>
      <w:r>
        <w:rPr>
          <w:rStyle w:val="FootnoteAnchor"/>
        </w:rPr>
        <w:footnoteReference w:id="37"/>
      </w:r>
      <w:r>
        <w:t xml:space="preserve">  </w:t>
      </w:r>
    </w:p>
    <w:p w14:paraId="2136FB97" w14:textId="77777777" w:rsidR="008835C2" w:rsidRDefault="008835C2">
      <w:pPr>
        <w:spacing w:after="240" w:line="480" w:lineRule="auto"/>
        <w:rPr>
          <w:rFonts w:hint="eastAsia"/>
          <w:color w:val="000000"/>
        </w:rPr>
      </w:pPr>
    </w:p>
    <w:p w14:paraId="2A565236" w14:textId="2E55BAE9" w:rsidR="00563A24" w:rsidRDefault="00667D29">
      <w:pPr>
        <w:spacing w:after="240" w:line="480" w:lineRule="auto"/>
        <w:rPr>
          <w:rFonts w:hint="eastAsia"/>
          <w:color w:val="000000"/>
        </w:rPr>
      </w:pPr>
      <w:r>
        <w:rPr>
          <w:color w:val="000000"/>
        </w:rPr>
        <w:t>Solvent abuse using a wide range of household substances had been prevalent since the 1950s, but only periodically came to public attention when a fatality or violent incident while under the influence of such a substance reached the news.</w:t>
      </w:r>
      <w:r>
        <w:rPr>
          <w:rStyle w:val="FootnoteAnchor"/>
          <w:color w:val="000000"/>
        </w:rPr>
        <w:footnoteReference w:id="38"/>
      </w:r>
      <w:r>
        <w:rPr>
          <w:color w:val="000000"/>
        </w:rPr>
        <w:t xml:space="preserve"> The low price and ease of accessibility meant that children in particular were prone to this use, and became the subject of sales restrictions for solvents generally. Even if a shopkeeper prevented the sale of solvents to a child, only their parents could attempt to control what happened with products already in the home.</w:t>
      </w:r>
    </w:p>
    <w:p w14:paraId="4C9CA234" w14:textId="77777777" w:rsidR="00563A24" w:rsidRDefault="00563A24">
      <w:pPr>
        <w:spacing w:after="240" w:line="480" w:lineRule="auto"/>
        <w:rPr>
          <w:rFonts w:hint="eastAsia"/>
          <w:color w:val="000000"/>
        </w:rPr>
      </w:pPr>
      <w:r>
        <w:rPr>
          <w:color w:val="000000"/>
        </w:rPr>
        <w:t>Disobedient users</w:t>
      </w:r>
    </w:p>
    <w:p w14:paraId="300794C3" w14:textId="77777777" w:rsidR="00563A24" w:rsidRDefault="00563A24">
      <w:pPr>
        <w:spacing w:after="240" w:line="480" w:lineRule="auto"/>
        <w:rPr>
          <w:rFonts w:hint="eastAsia"/>
          <w:color w:val="000000"/>
        </w:rPr>
      </w:pPr>
      <w:r>
        <w:rPr>
          <w:color w:val="000000"/>
        </w:rPr>
        <w:t xml:space="preserve">John Forester, MP for Stoke on Trent and one of the supporters of the </w:t>
      </w:r>
      <w:r w:rsidRPr="00563A24">
        <w:rPr>
          <w:rFonts w:hint="eastAsia"/>
          <w:color w:val="000000"/>
        </w:rPr>
        <w:t>da</w:t>
      </w:r>
      <w:r>
        <w:rPr>
          <w:rFonts w:hint="eastAsia"/>
          <w:color w:val="000000"/>
        </w:rPr>
        <w:t>ngerous household</w:t>
      </w:r>
      <w:r>
        <w:rPr>
          <w:color w:val="000000"/>
        </w:rPr>
        <w:t xml:space="preserve"> </w:t>
      </w:r>
      <w:r>
        <w:rPr>
          <w:rFonts w:hint="eastAsia"/>
          <w:color w:val="000000"/>
        </w:rPr>
        <w:t xml:space="preserve">product </w:t>
      </w:r>
      <w:r>
        <w:rPr>
          <w:color w:val="000000"/>
        </w:rPr>
        <w:t>(</w:t>
      </w:r>
      <w:r w:rsidRPr="00563A24">
        <w:rPr>
          <w:rFonts w:hint="eastAsia"/>
          <w:color w:val="000000"/>
        </w:rPr>
        <w:t>child</w:t>
      </w:r>
      <w:r>
        <w:rPr>
          <w:color w:val="000000"/>
        </w:rPr>
        <w:t xml:space="preserve"> safety) bill, confessed that he sometimes decanted chemicals from their original container </w:t>
      </w:r>
      <w:r>
        <w:rPr>
          <w:color w:val="000000"/>
        </w:rPr>
        <w:lastRenderedPageBreak/>
        <w:t xml:space="preserve">when he had bought a large, </w:t>
      </w:r>
      <w:r>
        <w:rPr>
          <w:rFonts w:hint="eastAsia"/>
          <w:color w:val="000000"/>
        </w:rPr>
        <w:t>unwieldy</w:t>
      </w:r>
      <w:r>
        <w:rPr>
          <w:color w:val="000000"/>
        </w:rPr>
        <w:t xml:space="preserve"> quantity.</w:t>
      </w:r>
      <w:r>
        <w:rPr>
          <w:rStyle w:val="FootnoteReference"/>
          <w:rFonts w:hint="eastAsia"/>
          <w:color w:val="000000"/>
        </w:rPr>
        <w:footnoteReference w:id="39"/>
      </w:r>
    </w:p>
    <w:p w14:paraId="2DE2B796" w14:textId="77777777" w:rsidR="00563A24" w:rsidRDefault="00563A24">
      <w:pPr>
        <w:spacing w:after="240" w:line="480" w:lineRule="auto"/>
        <w:rPr>
          <w:rFonts w:hint="eastAsia"/>
          <w:color w:val="000000"/>
        </w:rPr>
      </w:pPr>
    </w:p>
    <w:p w14:paraId="6DA9B88D" w14:textId="68D95BC8" w:rsidR="00563A24" w:rsidRDefault="00563A24">
      <w:pPr>
        <w:spacing w:after="240" w:line="480" w:lineRule="auto"/>
        <w:rPr>
          <w:rFonts w:hint="eastAsia"/>
          <w:color w:val="000000"/>
        </w:rPr>
      </w:pPr>
      <w:r>
        <w:rPr>
          <w:color w:val="000000"/>
        </w:rPr>
        <w:t xml:space="preserve">Sally Oppenheimer, Minister for Consumer Affairs and who worked on the Dangerous Household Products bill in 1982, made her stance clear </w:t>
      </w:r>
      <w:r>
        <w:rPr>
          <w:rFonts w:hint="eastAsia"/>
          <w:color w:val="000000"/>
        </w:rPr>
        <w:t>“</w:t>
      </w:r>
      <w:r>
        <w:rPr>
          <w:color w:val="000000"/>
        </w:rPr>
        <w:t xml:space="preserve">I firmly believe that </w:t>
      </w:r>
      <w:r>
        <w:rPr>
          <w:rFonts w:hint="eastAsia"/>
          <w:color w:val="000000"/>
        </w:rPr>
        <w:t>the</w:t>
      </w:r>
      <w:r>
        <w:rPr>
          <w:color w:val="000000"/>
        </w:rPr>
        <w:t xml:space="preserve"> main responsibility for ensuring that children do not swallow dangerous products must, in the first place, rest with the parents</w:t>
      </w:r>
      <w:r>
        <w:rPr>
          <w:rFonts w:hint="eastAsia"/>
          <w:color w:val="000000"/>
        </w:rPr>
        <w:t>”</w:t>
      </w:r>
      <w:r>
        <w:rPr>
          <w:color w:val="000000"/>
        </w:rPr>
        <w:t xml:space="preserve"> although she acknowledged that they </w:t>
      </w:r>
      <w:r>
        <w:rPr>
          <w:rFonts w:hint="eastAsia"/>
          <w:color w:val="000000"/>
        </w:rPr>
        <w:t xml:space="preserve">needed </w:t>
      </w:r>
      <w:r>
        <w:rPr>
          <w:rFonts w:hint="eastAsia"/>
          <w:color w:val="000000"/>
        </w:rPr>
        <w:t>“</w:t>
      </w:r>
      <w:r>
        <w:rPr>
          <w:color w:val="000000"/>
        </w:rPr>
        <w:t>the right information and advice as to the dangers</w:t>
      </w:r>
      <w:r>
        <w:rPr>
          <w:rFonts w:hint="eastAsia"/>
          <w:color w:val="000000"/>
        </w:rPr>
        <w:t>”</w:t>
      </w:r>
      <w:r>
        <w:rPr>
          <w:color w:val="000000"/>
        </w:rPr>
        <w:t xml:space="preserve">, provided in clear and consistent labelling. Education was a vital part of improving safety, symbols could be taught to children. Neil Thorne wondered why poisonous products were not sold in the distinctively shaped and textured bottles of his childhood. Although nobody answered his question in that debate, the preference for </w:t>
      </w:r>
      <w:r w:rsidR="003E1602">
        <w:rPr>
          <w:color w:val="000000"/>
        </w:rPr>
        <w:t xml:space="preserve">lighter weight </w:t>
      </w:r>
      <w:r>
        <w:rPr>
          <w:color w:val="000000"/>
        </w:rPr>
        <w:t>plastic bottles</w:t>
      </w:r>
      <w:r w:rsidR="003E1602">
        <w:rPr>
          <w:color w:val="000000"/>
        </w:rPr>
        <w:t xml:space="preserve"> that </w:t>
      </w:r>
      <w:r w:rsidR="003E1602">
        <w:rPr>
          <w:rFonts w:hint="eastAsia"/>
          <w:color w:val="000000"/>
        </w:rPr>
        <w:t xml:space="preserve">did not smash like glass, </w:t>
      </w:r>
      <w:r>
        <w:rPr>
          <w:color w:val="000000"/>
        </w:rPr>
        <w:t>and the ways that plastic bottles could be economically</w:t>
      </w:r>
      <w:r w:rsidR="003E1602">
        <w:rPr>
          <w:color w:val="000000"/>
        </w:rPr>
        <w:t xml:space="preserve"> moulded meant that these once standardised</w:t>
      </w:r>
      <w:r>
        <w:rPr>
          <w:color w:val="000000"/>
        </w:rPr>
        <w:t xml:space="preserve"> signals were not replicated.</w:t>
      </w:r>
    </w:p>
    <w:p w14:paraId="02DD3144" w14:textId="440AACB3" w:rsidR="001A6DA8" w:rsidRDefault="001A6DA8">
      <w:pPr>
        <w:spacing w:after="240" w:line="480" w:lineRule="auto"/>
        <w:rPr>
          <w:rFonts w:hint="eastAsia"/>
          <w:color w:val="000000"/>
        </w:rPr>
      </w:pPr>
      <w:r>
        <w:rPr>
          <w:rFonts w:ascii="Times" w:hAnsi="Times"/>
        </w:rPr>
        <w:t>Chemicals with a long history of use as domestic cleaning agents and the particularly harmful ones were associated with medical or legal case studies and gruesome anatomical specimens.</w:t>
      </w:r>
      <w:r>
        <w:rPr>
          <w:rStyle w:val="FootnoteReference"/>
          <w:rFonts w:ascii="Times" w:hAnsi="Times"/>
        </w:rPr>
        <w:footnoteReference w:id="40"/>
      </w:r>
      <w:r>
        <w:rPr>
          <w:rFonts w:ascii="Times" w:hAnsi="Times"/>
        </w:rPr>
        <w:t xml:space="preserve"> These were kept in institutions, not on general public view, so accounts of accidents or crimes which appeared in the news or fictional representations were how chemical dangers were disseminated more widely than the victims’ immediate populace.</w:t>
      </w:r>
    </w:p>
    <w:p w14:paraId="0FDCA556" w14:textId="77777777" w:rsidR="00667D29" w:rsidRPr="0074044C" w:rsidRDefault="00667D29" w:rsidP="00667D29">
      <w:pPr>
        <w:pStyle w:val="TextBody"/>
        <w:jc w:val="both"/>
        <w:rPr>
          <w:rFonts w:ascii="Times" w:hAnsi="Times"/>
        </w:rPr>
      </w:pPr>
      <w:r w:rsidRPr="0074044C">
        <w:rPr>
          <w:rFonts w:ascii="Times" w:hAnsi="Times"/>
        </w:rPr>
        <w:t xml:space="preserve">Language both shapes and reflects ideas so looking at the use of certain phrases in news media has been a starting point for my research. The results for searches for “household chemicals” and “domestic chemicals” shows that these phrases turned up most often in adverts for products that could resist or withstand such things: ICI plastic </w:t>
      </w:r>
      <w:proofErr w:type="spellStart"/>
      <w:r w:rsidRPr="0074044C">
        <w:rPr>
          <w:rFonts w:ascii="Times" w:hAnsi="Times"/>
        </w:rPr>
        <w:t>homewares</w:t>
      </w:r>
      <w:proofErr w:type="spellEnd"/>
      <w:r w:rsidRPr="0074044C">
        <w:rPr>
          <w:rFonts w:ascii="Times" w:hAnsi="Times"/>
        </w:rPr>
        <w:t xml:space="preserve">, </w:t>
      </w:r>
      <w:proofErr w:type="spellStart"/>
      <w:r w:rsidRPr="0074044C">
        <w:rPr>
          <w:rFonts w:ascii="Times" w:hAnsi="Times"/>
        </w:rPr>
        <w:t>Chevrus</w:t>
      </w:r>
      <w:proofErr w:type="spellEnd"/>
      <w:r w:rsidRPr="0074044C">
        <w:rPr>
          <w:rFonts w:ascii="Times" w:hAnsi="Times"/>
        </w:rPr>
        <w:t xml:space="preserve"> “teak grained melamine” furniture. People, or users of chemicals in the home were far more rarely the subject of what household chemicals acted on, although hands were vulnerable to household chemicals, potentially </w:t>
      </w:r>
      <w:r w:rsidRPr="0074044C">
        <w:rPr>
          <w:rFonts w:ascii="Times" w:hAnsi="Times"/>
        </w:rPr>
        <w:lastRenderedPageBreak/>
        <w:t xml:space="preserve">soothed by </w:t>
      </w:r>
      <w:proofErr w:type="spellStart"/>
      <w:r w:rsidRPr="0074044C">
        <w:rPr>
          <w:rFonts w:ascii="Times" w:hAnsi="Times"/>
        </w:rPr>
        <w:t>Neodex</w:t>
      </w:r>
      <w:proofErr w:type="spellEnd"/>
      <w:r w:rsidRPr="0074044C">
        <w:rPr>
          <w:rFonts w:ascii="Times" w:hAnsi="Times"/>
        </w:rPr>
        <w:t xml:space="preserve"> ointment and </w:t>
      </w:r>
      <w:proofErr w:type="spellStart"/>
      <w:r w:rsidRPr="0074044C">
        <w:rPr>
          <w:rFonts w:ascii="Times" w:hAnsi="Times"/>
        </w:rPr>
        <w:t>Cuticura</w:t>
      </w:r>
      <w:proofErr w:type="spellEnd"/>
      <w:r w:rsidRPr="0074044C">
        <w:rPr>
          <w:rFonts w:ascii="Times" w:hAnsi="Times"/>
        </w:rPr>
        <w:t xml:space="preserve"> cream. These instances reveal that household chemicals had a reputation for being harsh, for stripping the colour out of plastics, the oils out of skin, or upsetting the balance of a septic tank through over use, avoidable with </w:t>
      </w:r>
      <w:proofErr w:type="spellStart"/>
      <w:r w:rsidRPr="0074044C">
        <w:rPr>
          <w:rFonts w:ascii="Times" w:hAnsi="Times"/>
        </w:rPr>
        <w:t>SeptaPlan</w:t>
      </w:r>
      <w:proofErr w:type="spellEnd"/>
      <w:r w:rsidRPr="0074044C">
        <w:rPr>
          <w:rFonts w:ascii="Times" w:hAnsi="Times"/>
        </w:rPr>
        <w:t>. This absence of editorials or letters about household chemicals cannot be interpreted as all chemicals used in the home were believed by users to be benign. That women’s hands were aggravated by contact with household chemicals was taken for granted, soft, pale delicate hands are a staple advertising feature working to show that the product does not redden and roughen.</w:t>
      </w:r>
      <w:r>
        <w:rPr>
          <w:rFonts w:ascii="Times" w:hAnsi="Times"/>
        </w:rPr>
        <w:t xml:space="preserve"> </w:t>
      </w:r>
      <w:r w:rsidRPr="0074044C">
        <w:rPr>
          <w:rFonts w:ascii="Times" w:hAnsi="Times"/>
        </w:rPr>
        <w:t xml:space="preserve">Where there were negative effects from certain chemicals or groups of chemicals, these were dealt with specifically, as seen with solvents that could be abused, CFCs that depleted the ozone. </w:t>
      </w:r>
    </w:p>
    <w:p w14:paraId="1EBF8CD1" w14:textId="77777777" w:rsidR="00667D29" w:rsidRPr="0074044C" w:rsidRDefault="00667D29" w:rsidP="00667D29">
      <w:pPr>
        <w:pStyle w:val="TextBody"/>
        <w:rPr>
          <w:rFonts w:ascii="Times" w:hAnsi="Times"/>
        </w:rPr>
      </w:pPr>
    </w:p>
    <w:p w14:paraId="3589E6B9" w14:textId="77777777" w:rsidR="00667D29" w:rsidRPr="0074044C" w:rsidRDefault="00667D29" w:rsidP="00667D29">
      <w:pPr>
        <w:pStyle w:val="TextBody"/>
        <w:rPr>
          <w:rFonts w:ascii="Times" w:hAnsi="Times"/>
        </w:rPr>
      </w:pPr>
      <w:r w:rsidRPr="0074044C">
        <w:rPr>
          <w:rFonts w:ascii="Times" w:hAnsi="Times"/>
        </w:rPr>
        <w:t>Household “poisons” or “toxins” were the phrases used when chemicals used in the home were also believed capable of dire effects on human inhabitants. In the case of poisons, chemicals became poisons only in combination with careless human behaviour. Toxins on the other hand were beyond the control or will of users, perhaps seeping out into the domestic air from synthetic materials or carried in as a residue, uninvited and unexpected chemicals in the domestic interior, the unintended consequences of using some other product. The effects of the toxins were uncertain, but expected to be unpleasant, possibly contributing to cancer or long term health effects. (</w:t>
      </w:r>
      <w:proofErr w:type="spellStart"/>
      <w:r w:rsidRPr="0074044C">
        <w:rPr>
          <w:rFonts w:ascii="Times" w:hAnsi="Times"/>
        </w:rPr>
        <w:t>Appdx</w:t>
      </w:r>
      <w:proofErr w:type="spellEnd"/>
      <w:r w:rsidRPr="0074044C">
        <w:rPr>
          <w:rFonts w:ascii="Times" w:hAnsi="Times"/>
        </w:rPr>
        <w:t xml:space="preserve"> </w:t>
      </w:r>
      <w:proofErr w:type="spellStart"/>
      <w:r w:rsidRPr="0074044C">
        <w:rPr>
          <w:rFonts w:ascii="Times" w:hAnsi="Times"/>
        </w:rPr>
        <w:t>householdchemicalsDM</w:t>
      </w:r>
      <w:proofErr w:type="spellEnd"/>
      <w:r w:rsidRPr="0074044C">
        <w:rPr>
          <w:rFonts w:ascii="Times" w:hAnsi="Times"/>
        </w:rPr>
        <w:t>)</w:t>
      </w:r>
    </w:p>
    <w:p w14:paraId="066514E9" w14:textId="77777777" w:rsidR="00667D29" w:rsidRPr="0074044C" w:rsidRDefault="00667D29" w:rsidP="00667D29">
      <w:pPr>
        <w:pStyle w:val="TextBody"/>
        <w:rPr>
          <w:rFonts w:ascii="Times" w:hAnsi="Times"/>
        </w:rPr>
      </w:pPr>
    </w:p>
    <w:p w14:paraId="6EDFEFFB" w14:textId="77777777" w:rsidR="00667D29" w:rsidRPr="0074044C" w:rsidRDefault="00667D29" w:rsidP="00667D29">
      <w:pPr>
        <w:pStyle w:val="TextBody"/>
        <w:rPr>
          <w:rFonts w:ascii="Times" w:hAnsi="Times"/>
        </w:rPr>
      </w:pPr>
    </w:p>
    <w:p w14:paraId="2319E8DE" w14:textId="77777777" w:rsidR="00563A24" w:rsidRDefault="00563A24">
      <w:pPr>
        <w:spacing w:after="240" w:line="480" w:lineRule="auto"/>
        <w:rPr>
          <w:rFonts w:hint="eastAsia"/>
          <w:color w:val="000000"/>
        </w:rPr>
      </w:pPr>
    </w:p>
    <w:sectPr w:rsidR="00563A24">
      <w:pgSz w:w="11906" w:h="16838"/>
      <w:pgMar w:top="1134" w:right="1134" w:bottom="1134" w:left="1134" w:header="0" w:footer="0" w:gutter="0"/>
      <w:cols w:space="720"/>
      <w:formProt w:val="0"/>
      <w:docGrid w:linePitch="312"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nknown Author" w:date="2015-03-02T11:57:00Z" w:initials="">
    <w:p w14:paraId="32D58B85" w14:textId="77777777" w:rsidR="008835C2" w:rsidRDefault="00F950D0">
      <w:pPr>
        <w:rPr>
          <w:rFonts w:hint="eastAsia"/>
        </w:rPr>
      </w:pPr>
      <w:r>
        <w:rPr>
          <w:rFonts w:ascii=".Helvetica Neue DeskInterface" w:hAnsi=".Helvetica Neue DeskInterface"/>
          <w:sz w:val="20"/>
        </w:rPr>
        <w:t xml:space="preserve">V – good description of </w:t>
      </w:r>
      <w:proofErr w:type="spellStart"/>
      <w:r>
        <w:rPr>
          <w:rFonts w:ascii=".Helvetica Neue DeskInterface" w:hAnsi=".Helvetica Neue DeskInterface"/>
          <w:sz w:val="20"/>
        </w:rPr>
        <w:t>oads</w:t>
      </w:r>
      <w:proofErr w:type="spellEnd"/>
      <w:r>
        <w:rPr>
          <w:rFonts w:ascii=".Helvetica Neue DeskInterface" w:hAnsi=".Helvetica Neue DeskInterface"/>
          <w:sz w:val="20"/>
        </w:rPr>
        <w:t xml:space="preserve"> about intentional users, any other images of actual users elsewhere?</w:t>
      </w:r>
    </w:p>
  </w:comment>
  <w:comment w:id="2" w:author="Unknown Author" w:date="2015-03-02T12:48:00Z" w:initials="">
    <w:p w14:paraId="45563AA4" w14:textId="77777777" w:rsidR="008835C2" w:rsidRDefault="00F950D0">
      <w:pPr>
        <w:rPr>
          <w:rFonts w:hint="eastAsia"/>
        </w:rPr>
      </w:pPr>
      <w:r>
        <w:rPr>
          <w:rFonts w:ascii=".Helvetica Neue DeskInterface" w:hAnsi=".Helvetica Neue DeskInterface"/>
          <w:sz w:val="20"/>
        </w:rPr>
        <w:t>V – interesting, explain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D58B85" w15:done="0"/>
  <w15:commentEx w15:paraId="45563AA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11DBE" w14:textId="77777777" w:rsidR="00BD40BE" w:rsidRDefault="00BD40BE">
      <w:pPr>
        <w:rPr>
          <w:rFonts w:hint="eastAsia"/>
        </w:rPr>
      </w:pPr>
      <w:r>
        <w:separator/>
      </w:r>
    </w:p>
  </w:endnote>
  <w:endnote w:type="continuationSeparator" w:id="0">
    <w:p w14:paraId="5E541EB3" w14:textId="77777777" w:rsidR="00BD40BE" w:rsidRDefault="00BD40B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Arial Unicode MS">
    <w:panose1 w:val="020B0604020202020204"/>
    <w:charset w:val="00"/>
    <w:family w:val="auto"/>
    <w:pitch w:val="variable"/>
    <w:sig w:usb0="F7FFAFFF" w:usb1="E9DFFFFF" w:usb2="0000003F" w:usb3="00000000" w:csb0="003F01FF" w:csb1="00000000"/>
  </w:font>
  <w:font w:name="Liberation Sans">
    <w:altName w:val="Arial"/>
    <w:charset w:val="01"/>
    <w:family w:val="swiss"/>
    <w:pitch w:val="variable"/>
  </w:font>
  <w:font w:name="Times New Roman">
    <w:panose1 w:val="02020603050405020304"/>
    <w:charset w:val="00"/>
    <w:family w:val="auto"/>
    <w:pitch w:val="variable"/>
    <w:sig w:usb0="E0002AEF" w:usb1="C0007841" w:usb2="00000009" w:usb3="00000000" w:csb0="000001FF"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Helvetica Neue DeskInterface">
    <w:altName w:val="Arial"/>
    <w:charset w:val="01"/>
    <w:family w:val="swiss"/>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65EF30" w14:textId="77777777" w:rsidR="00BD40BE" w:rsidRDefault="00BD40BE">
      <w:pPr>
        <w:rPr>
          <w:rFonts w:hint="eastAsia"/>
        </w:rPr>
      </w:pPr>
      <w:r>
        <w:separator/>
      </w:r>
    </w:p>
  </w:footnote>
  <w:footnote w:type="continuationSeparator" w:id="0">
    <w:p w14:paraId="6687ECFB" w14:textId="77777777" w:rsidR="00BD40BE" w:rsidRDefault="00BD40BE">
      <w:pPr>
        <w:rPr>
          <w:rFonts w:hint="eastAsia"/>
        </w:rPr>
      </w:pPr>
      <w:r>
        <w:continuationSeparator/>
      </w:r>
    </w:p>
  </w:footnote>
  <w:footnote w:id="1">
    <w:p w14:paraId="5D0EC826"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R. E, Parker. "Warning Needed." </w:t>
      </w:r>
      <w:r>
        <w:rPr>
          <w:rFonts w:ascii="Times New Roman" w:hAnsi="Times New Roman"/>
          <w:i/>
          <w:color w:val="000000"/>
        </w:rPr>
        <w:t xml:space="preserve">The </w:t>
      </w:r>
      <w:proofErr w:type="gramStart"/>
      <w:r>
        <w:rPr>
          <w:rFonts w:ascii="Times New Roman" w:hAnsi="Times New Roman"/>
          <w:i/>
          <w:color w:val="000000"/>
        </w:rPr>
        <w:t xml:space="preserve">Times </w:t>
      </w:r>
      <w:r>
        <w:rPr>
          <w:rFonts w:ascii="Times New Roman" w:hAnsi="Times New Roman"/>
          <w:color w:val="000000"/>
        </w:rPr>
        <w:t xml:space="preserve"> (</w:t>
      </w:r>
      <w:proofErr w:type="gramEnd"/>
      <w:r>
        <w:rPr>
          <w:rFonts w:ascii="Times New Roman" w:hAnsi="Times New Roman"/>
          <w:color w:val="000000"/>
        </w:rPr>
        <w:t>19/08/1964) 11</w:t>
      </w:r>
    </w:p>
  </w:footnote>
  <w:footnote w:id="2">
    <w:p w14:paraId="1B213080"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"'Chloroform' Cleaner Kills Girl of Six." </w:t>
      </w:r>
      <w:r>
        <w:rPr>
          <w:rFonts w:ascii="Times New Roman" w:hAnsi="Times New Roman"/>
          <w:i/>
          <w:color w:val="000000"/>
        </w:rPr>
        <w:t>The Daily Mail</w:t>
      </w:r>
      <w:r>
        <w:rPr>
          <w:rFonts w:ascii="Times New Roman" w:hAnsi="Times New Roman"/>
          <w:color w:val="000000"/>
        </w:rPr>
        <w:t>, 02 July 1947.</w:t>
      </w:r>
    </w:p>
  </w:footnote>
  <w:footnote w:id="3">
    <w:p w14:paraId="634E580B"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"Smell Kills Boy Aged 6." </w:t>
      </w:r>
      <w:r>
        <w:rPr>
          <w:rFonts w:ascii="Times New Roman" w:hAnsi="Times New Roman"/>
          <w:i/>
          <w:color w:val="000000"/>
        </w:rPr>
        <w:t>The Daily Mail</w:t>
      </w:r>
      <w:r>
        <w:rPr>
          <w:rFonts w:ascii="Times New Roman" w:hAnsi="Times New Roman"/>
          <w:color w:val="000000"/>
        </w:rPr>
        <w:t>, 20 October 1962, 6.</w:t>
      </w:r>
    </w:p>
  </w:footnote>
  <w:footnote w:id="4">
    <w:p w14:paraId="4F948B04"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"Smell Kills Boy Aged 6." </w:t>
      </w:r>
      <w:r>
        <w:rPr>
          <w:rFonts w:ascii="Times New Roman" w:hAnsi="Times New Roman"/>
          <w:i/>
          <w:color w:val="000000"/>
        </w:rPr>
        <w:t>The Daily Mail</w:t>
      </w:r>
      <w:r>
        <w:rPr>
          <w:rFonts w:ascii="Times New Roman" w:hAnsi="Times New Roman"/>
          <w:color w:val="000000"/>
        </w:rPr>
        <w:t>, 20 October 1962, 6</w:t>
      </w:r>
    </w:p>
  </w:footnote>
  <w:footnote w:id="5">
    <w:p w14:paraId="7FE09D04" w14:textId="055811C6" w:rsidR="001A6DA8" w:rsidRDefault="001A6DA8">
      <w:pPr>
        <w:pStyle w:val="FootnoteText"/>
        <w:rPr>
          <w:rFonts w:hint="eastAsia"/>
        </w:rPr>
      </w:pPr>
      <w:r>
        <w:rPr>
          <w:rStyle w:val="FootnoteReference"/>
          <w:rFonts w:hint="eastAsia"/>
        </w:rPr>
        <w:footnoteRef/>
      </w:r>
      <w:r>
        <w:rPr>
          <w:rFonts w:hint="eastAsia"/>
        </w:rPr>
        <w:t xml:space="preserve"> </w:t>
      </w:r>
      <w:r>
        <w:rPr>
          <w:color w:val="000000"/>
        </w:rPr>
        <w:t xml:space="preserve">"Deadly Duster Kills a Girl." </w:t>
      </w:r>
      <w:r>
        <w:rPr>
          <w:i/>
          <w:color w:val="000000"/>
        </w:rPr>
        <w:t>The Daily Express</w:t>
      </w:r>
      <w:r>
        <w:rPr>
          <w:color w:val="000000"/>
        </w:rPr>
        <w:t>, 15 May 1958</w:t>
      </w:r>
    </w:p>
  </w:footnote>
  <w:footnote w:id="6">
    <w:p w14:paraId="0820AD61" w14:textId="3CAD4E20" w:rsidR="001A6DA8" w:rsidRDefault="001A6DA8">
      <w:pPr>
        <w:pStyle w:val="FootnoteText"/>
        <w:rPr>
          <w:rFonts w:hint="eastAsia"/>
        </w:rPr>
      </w:pPr>
      <w:r>
        <w:rPr>
          <w:rStyle w:val="FootnoteReference"/>
          <w:rFonts w:hint="eastAsia"/>
        </w:rPr>
        <w:footnoteRef/>
      </w:r>
      <w:r>
        <w:rPr>
          <w:rFonts w:hint="eastAsia"/>
        </w:rPr>
        <w:t xml:space="preserve"> </w:t>
      </w:r>
      <w:r>
        <w:rPr>
          <w:color w:val="000000"/>
        </w:rPr>
        <w:t xml:space="preserve">Polson, C. </w:t>
      </w:r>
      <w:proofErr w:type="gramStart"/>
      <w:r>
        <w:rPr>
          <w:color w:val="000000"/>
        </w:rPr>
        <w:t>J. .</w:t>
      </w:r>
      <w:proofErr w:type="gramEnd"/>
      <w:r>
        <w:rPr>
          <w:color w:val="000000"/>
        </w:rPr>
        <w:t xml:space="preserve"> "The Role of the Pathologist in the Investigation of Fatal Poisoning." </w:t>
      </w:r>
      <w:r>
        <w:rPr>
          <w:i/>
          <w:color w:val="000000"/>
        </w:rPr>
        <w:t xml:space="preserve">Medicine, Science and the Law </w:t>
      </w:r>
      <w:r>
        <w:rPr>
          <w:color w:val="000000"/>
        </w:rPr>
        <w:t>5, no. 4 (1965): 203-10;</w:t>
      </w:r>
    </w:p>
  </w:footnote>
  <w:footnote w:id="7">
    <w:p w14:paraId="57A7C416" w14:textId="33CAC4DC" w:rsidR="00667D29" w:rsidRPr="00667D29" w:rsidRDefault="00667D29" w:rsidP="00667D29">
      <w:pPr>
        <w:suppressAutoHyphens w:val="0"/>
        <w:autoSpaceDE w:val="0"/>
        <w:autoSpaceDN w:val="0"/>
        <w:adjustRightInd w:val="0"/>
        <w:ind w:left="720" w:hanging="720"/>
        <w:rPr>
          <w:rFonts w:ascii="Helvetica" w:hAnsi="Helvetica" w:cs="Helvetica"/>
          <w:lang w:val="en-US" w:bidi="ar-SA"/>
        </w:rPr>
      </w:pPr>
      <w:r>
        <w:rPr>
          <w:rStyle w:val="FootnoteReference"/>
          <w:rFonts w:hint="eastAsia"/>
        </w:rPr>
        <w:footnoteRef/>
      </w:r>
      <w:r>
        <w:rPr>
          <w:rFonts w:hint="eastAsia"/>
        </w:rPr>
        <w:t xml:space="preserve"> </w:t>
      </w:r>
      <w:proofErr w:type="spellStart"/>
      <w:r>
        <w:rPr>
          <w:rFonts w:ascii="Helvetica" w:hAnsi="Helvetica" w:cs="Helvetica"/>
          <w:lang w:val="en-US" w:bidi="ar-SA"/>
        </w:rPr>
        <w:t>Foxell</w:t>
      </w:r>
      <w:proofErr w:type="spellEnd"/>
      <w:r>
        <w:rPr>
          <w:rFonts w:ascii="Helvetica" w:hAnsi="Helvetica" w:cs="Helvetica"/>
          <w:lang w:val="en-US" w:bidi="ar-SA"/>
        </w:rPr>
        <w:t xml:space="preserve">, A.W.H. "Three Cases of Carbon Tetrachloride Poisoning with One Fatality." </w:t>
      </w:r>
      <w:r>
        <w:rPr>
          <w:rFonts w:ascii="Helvetica" w:hAnsi="Helvetica" w:cs="Helvetica"/>
          <w:i/>
          <w:iCs/>
          <w:lang w:val="en-US" w:bidi="ar-SA"/>
        </w:rPr>
        <w:t xml:space="preserve">The British Medical Journal </w:t>
      </w:r>
      <w:r>
        <w:rPr>
          <w:rFonts w:ascii="Helvetica" w:hAnsi="Helvetica" w:cs="Helvetica"/>
          <w:lang w:val="en-US" w:bidi="ar-SA"/>
        </w:rPr>
        <w:t>1, no. 4703 (1951): 397.</w:t>
      </w:r>
    </w:p>
  </w:footnote>
  <w:footnote w:id="8">
    <w:p w14:paraId="10A5FD4F" w14:textId="77777777" w:rsidR="008835C2" w:rsidRDefault="00F950D0">
      <w:pPr>
        <w:pStyle w:val="Footnote"/>
        <w:rPr>
          <w:rFonts w:hint="eastAsia"/>
        </w:rPr>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9">
    <w:p w14:paraId="4AF385E8" w14:textId="77777777" w:rsidR="00563A24" w:rsidRPr="00563A24" w:rsidRDefault="00563A24" w:rsidP="00563A24">
      <w:pPr>
        <w:suppressAutoHyphens w:val="0"/>
        <w:autoSpaceDE w:val="0"/>
        <w:autoSpaceDN w:val="0"/>
        <w:adjustRightInd w:val="0"/>
        <w:ind w:left="720" w:hanging="720"/>
        <w:rPr>
          <w:rFonts w:ascii="Helvetica" w:hAnsi="Helvetica" w:cs="Helvetica"/>
          <w:lang w:val="en-US" w:bidi="ar-SA"/>
        </w:rPr>
      </w:pPr>
      <w:r>
        <w:rPr>
          <w:rStyle w:val="FootnoteReference"/>
          <w:rFonts w:hint="eastAsia"/>
        </w:rPr>
        <w:footnoteRef/>
      </w:r>
      <w:r>
        <w:rPr>
          <w:rFonts w:hint="eastAsia"/>
        </w:rPr>
        <w:t xml:space="preserve"> </w:t>
      </w:r>
      <w:r>
        <w:rPr>
          <w:rFonts w:ascii="Helvetica" w:hAnsi="Helvetica" w:cs="Helvetica"/>
          <w:lang w:val="en-US" w:bidi="ar-SA"/>
        </w:rPr>
        <w:t xml:space="preserve">Butler, Joyce, Peter Mills, Robert Cooke, David </w:t>
      </w:r>
      <w:proofErr w:type="spellStart"/>
      <w:r>
        <w:rPr>
          <w:rFonts w:ascii="Helvetica" w:hAnsi="Helvetica" w:cs="Helvetica"/>
          <w:lang w:val="en-US" w:bidi="ar-SA"/>
        </w:rPr>
        <w:t>Mudd</w:t>
      </w:r>
      <w:proofErr w:type="spellEnd"/>
      <w:r>
        <w:rPr>
          <w:rFonts w:ascii="Helvetica" w:hAnsi="Helvetica" w:cs="Helvetica"/>
          <w:lang w:val="en-US" w:bidi="ar-SA"/>
        </w:rPr>
        <w:t xml:space="preserve">, and Anthony </w:t>
      </w:r>
      <w:proofErr w:type="spellStart"/>
      <w:r>
        <w:rPr>
          <w:rFonts w:ascii="Helvetica" w:hAnsi="Helvetica" w:cs="Helvetica"/>
          <w:lang w:val="en-US" w:bidi="ar-SA"/>
        </w:rPr>
        <w:t>Stodart</w:t>
      </w:r>
      <w:proofErr w:type="spellEnd"/>
      <w:r>
        <w:rPr>
          <w:rFonts w:ascii="Helvetica" w:hAnsi="Helvetica" w:cs="Helvetica"/>
          <w:lang w:val="en-US" w:bidi="ar-SA"/>
        </w:rPr>
        <w:t xml:space="preserve">. "House of Commons Debate: Farm and Garden Chemicals." </w:t>
      </w:r>
      <w:proofErr w:type="spellStart"/>
      <w:r>
        <w:rPr>
          <w:rFonts w:ascii="Helvetica" w:hAnsi="Helvetica" w:cs="Helvetica"/>
          <w:i/>
          <w:iCs/>
          <w:lang w:val="en-US" w:bidi="ar-SA"/>
        </w:rPr>
        <w:t>Hansard</w:t>
      </w:r>
      <w:proofErr w:type="spellEnd"/>
      <w:r>
        <w:rPr>
          <w:rFonts w:ascii="Helvetica" w:hAnsi="Helvetica" w:cs="Helvetica"/>
          <w:i/>
          <w:iCs/>
          <w:lang w:val="en-US" w:bidi="ar-SA"/>
        </w:rPr>
        <w:t xml:space="preserve"> </w:t>
      </w:r>
      <w:r>
        <w:rPr>
          <w:rFonts w:ascii="Helvetica" w:hAnsi="Helvetica" w:cs="Helvetica"/>
          <w:lang w:val="en-US" w:bidi="ar-SA"/>
        </w:rPr>
        <w:t>821 (20 July 1971): cc1295-407.</w:t>
      </w:r>
    </w:p>
  </w:footnote>
  <w:footnote w:id="10">
    <w:p w14:paraId="11DD26EF" w14:textId="58F08A2D" w:rsidR="0066286E" w:rsidRPr="0066286E" w:rsidRDefault="0066286E" w:rsidP="0066286E">
      <w:pPr>
        <w:suppressAutoHyphens w:val="0"/>
        <w:autoSpaceDE w:val="0"/>
        <w:autoSpaceDN w:val="0"/>
        <w:adjustRightInd w:val="0"/>
        <w:ind w:left="720" w:hanging="720"/>
        <w:rPr>
          <w:rFonts w:ascii="Helvetica" w:hAnsi="Helvetica" w:cs="Helvetica"/>
          <w:lang w:val="en-US" w:bidi="ar-SA"/>
        </w:rPr>
      </w:pPr>
      <w:r>
        <w:rPr>
          <w:rStyle w:val="FootnoteReference"/>
          <w:rFonts w:hint="eastAsia"/>
        </w:rPr>
        <w:footnoteRef/>
      </w:r>
      <w:r>
        <w:rPr>
          <w:rFonts w:hint="eastAsia"/>
        </w:rPr>
        <w:t xml:space="preserve"> </w:t>
      </w:r>
      <w:proofErr w:type="spellStart"/>
      <w:r>
        <w:rPr>
          <w:rFonts w:ascii="Helvetica" w:hAnsi="Helvetica" w:cs="Helvetica"/>
          <w:lang w:val="en-US" w:bidi="ar-SA"/>
        </w:rPr>
        <w:t>Combes</w:t>
      </w:r>
      <w:proofErr w:type="spellEnd"/>
      <w:r>
        <w:rPr>
          <w:rFonts w:ascii="Helvetica" w:hAnsi="Helvetica" w:cs="Helvetica"/>
          <w:lang w:val="en-US" w:bidi="ar-SA"/>
        </w:rPr>
        <w:t xml:space="preserve">, Gill. </w:t>
      </w:r>
      <w:r>
        <w:rPr>
          <w:rFonts w:ascii="Helvetica" w:hAnsi="Helvetica" w:cs="Helvetica"/>
          <w:i/>
          <w:iCs/>
          <w:lang w:val="en-US" w:bidi="ar-SA"/>
        </w:rPr>
        <w:t xml:space="preserve">You Can't Watch Them Twenty-Four Hours a </w:t>
      </w:r>
      <w:proofErr w:type="gramStart"/>
      <w:r>
        <w:rPr>
          <w:rFonts w:ascii="Helvetica" w:hAnsi="Helvetica" w:cs="Helvetica"/>
          <w:i/>
          <w:iCs/>
          <w:lang w:val="en-US" w:bidi="ar-SA"/>
        </w:rPr>
        <w:t>Day :</w:t>
      </w:r>
      <w:proofErr w:type="gramEnd"/>
      <w:r>
        <w:rPr>
          <w:rFonts w:ascii="Helvetica" w:hAnsi="Helvetica" w:cs="Helvetica"/>
          <w:i/>
          <w:iCs/>
          <w:lang w:val="en-US" w:bidi="ar-SA"/>
        </w:rPr>
        <w:t xml:space="preserve"> Parents' and Children's Perceptions, Understanding and Experiences of Accidents and Accident Prevention</w:t>
      </w:r>
      <w:r>
        <w:rPr>
          <w:rFonts w:ascii="Helvetica" w:hAnsi="Helvetica" w:cs="Helvetica"/>
          <w:lang w:val="en-US" w:bidi="ar-SA"/>
        </w:rPr>
        <w:t xml:space="preserve">. Edited by Child Accident Prevention Trust London: </w:t>
      </w:r>
      <w:proofErr w:type="gramStart"/>
      <w:r>
        <w:rPr>
          <w:rFonts w:ascii="Helvetica" w:hAnsi="Helvetica" w:cs="Helvetica"/>
          <w:lang w:val="en-US" w:bidi="ar-SA"/>
        </w:rPr>
        <w:t>London :</w:t>
      </w:r>
      <w:proofErr w:type="gramEnd"/>
      <w:r>
        <w:rPr>
          <w:rFonts w:ascii="Helvetica" w:hAnsi="Helvetica" w:cs="Helvetica"/>
          <w:lang w:val="en-US" w:bidi="ar-SA"/>
        </w:rPr>
        <w:t xml:space="preserve"> CAPT, 1991, p13, 17</w:t>
      </w:r>
      <w:r>
        <w:rPr>
          <w:rFonts w:ascii="Helvetica" w:hAnsi="Helvetica" w:cs="Helvetica"/>
          <w:lang w:val="en-US" w:bidi="ar-SA"/>
        </w:rPr>
        <w:t>, 21</w:t>
      </w:r>
      <w:r>
        <w:rPr>
          <w:rFonts w:ascii="Helvetica" w:hAnsi="Helvetica" w:cs="Helvetica"/>
          <w:lang w:val="en-US" w:bidi="ar-SA"/>
        </w:rPr>
        <w:t>.</w:t>
      </w:r>
    </w:p>
  </w:footnote>
  <w:footnote w:id="11">
    <w:p w14:paraId="7B64F6AF"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"Weeping Man Hides from Scarred Girl." </w:t>
      </w:r>
      <w:r>
        <w:rPr>
          <w:rFonts w:ascii="Times New Roman" w:hAnsi="Times New Roman"/>
          <w:i/>
          <w:color w:val="000000"/>
        </w:rPr>
        <w:t>Daily Express</w:t>
      </w:r>
      <w:r>
        <w:rPr>
          <w:rFonts w:ascii="Times New Roman" w:hAnsi="Times New Roman"/>
          <w:color w:val="000000"/>
        </w:rPr>
        <w:t>, 06 December 1962, 14.</w:t>
      </w:r>
    </w:p>
  </w:footnote>
  <w:footnote w:id="12">
    <w:p w14:paraId="6B589CDF"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Allan, A. R., R. C. Blackmore, and P. A. </w:t>
      </w:r>
      <w:proofErr w:type="spellStart"/>
      <w:r>
        <w:rPr>
          <w:rFonts w:ascii="Times New Roman" w:hAnsi="Times New Roman"/>
          <w:color w:val="000000"/>
        </w:rPr>
        <w:t>Toseland</w:t>
      </w:r>
      <w:proofErr w:type="spellEnd"/>
      <w:r>
        <w:rPr>
          <w:rFonts w:ascii="Times New Roman" w:hAnsi="Times New Roman"/>
          <w:color w:val="000000"/>
        </w:rPr>
        <w:t xml:space="preserve">. "A Chloroform Inhalation Fatality - an Unusual Asphyxiation." </w:t>
      </w:r>
      <w:r>
        <w:rPr>
          <w:rFonts w:ascii="Times New Roman" w:hAnsi="Times New Roman"/>
          <w:i/>
          <w:color w:val="000000"/>
        </w:rPr>
        <w:t xml:space="preserve">Medicine, Science and the Law </w:t>
      </w:r>
      <w:r>
        <w:rPr>
          <w:rFonts w:ascii="Times New Roman" w:hAnsi="Times New Roman"/>
          <w:color w:val="000000"/>
        </w:rPr>
        <w:t>28, no. 2 (1988): 120-22.</w:t>
      </w:r>
    </w:p>
  </w:footnote>
  <w:footnote w:id="13">
    <w:p w14:paraId="4186F63F"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Pilsbury</w:t>
      </w:r>
      <w:proofErr w:type="spellEnd"/>
      <w:r>
        <w:rPr>
          <w:rFonts w:ascii="Times New Roman" w:hAnsi="Times New Roman"/>
          <w:color w:val="000000"/>
        </w:rPr>
        <w:t xml:space="preserve">, Joan. "National Life Stories Collection: Craft Lives." By Frances </w:t>
      </w:r>
      <w:proofErr w:type="spellStart"/>
      <w:r>
        <w:rPr>
          <w:rFonts w:ascii="Times New Roman" w:hAnsi="Times New Roman"/>
          <w:color w:val="000000"/>
        </w:rPr>
        <w:t>Cornford</w:t>
      </w:r>
      <w:proofErr w:type="spellEnd"/>
      <w:r>
        <w:rPr>
          <w:rFonts w:ascii="Times New Roman" w:hAnsi="Times New Roman"/>
          <w:color w:val="000000"/>
        </w:rPr>
        <w:t xml:space="preserve"> (01 November, 02 November 2012). 3 of 5, 53.01 </w:t>
      </w:r>
    </w:p>
  </w:footnote>
  <w:footnote w:id="14">
    <w:p w14:paraId="71A1A3A1"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Maguire, Robert. "National Life Story Collection: Architects' Lives." By Linda Sandino (2004). track 1 of 19, 27.00</w:t>
      </w:r>
    </w:p>
  </w:footnote>
  <w:footnote w:id="15">
    <w:p w14:paraId="610F4209"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JC Loudon "Suburban Gardener and Willa Companion" quoted in Holmes, Caroline. </w:t>
      </w:r>
      <w:r>
        <w:rPr>
          <w:rFonts w:ascii="Times New Roman" w:hAnsi="Times New Roman"/>
          <w:i/>
          <w:color w:val="000000"/>
        </w:rPr>
        <w:t>New Shoots Old Tips</w:t>
      </w:r>
      <w:r>
        <w:rPr>
          <w:rFonts w:ascii="Times New Roman" w:hAnsi="Times New Roman"/>
          <w:color w:val="000000"/>
        </w:rPr>
        <w:t>.  London: Frances Lincoln, 2004. p25</w:t>
      </w:r>
    </w:p>
  </w:footnote>
  <w:footnote w:id="16">
    <w:p w14:paraId="21653880"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"War on Weeds." </w:t>
      </w:r>
      <w:r>
        <w:rPr>
          <w:rFonts w:ascii="Times New Roman" w:hAnsi="Times New Roman"/>
          <w:i/>
          <w:color w:val="000000"/>
        </w:rPr>
        <w:t>Practical Gardening</w:t>
      </w:r>
      <w:r>
        <w:rPr>
          <w:rFonts w:ascii="Times New Roman" w:hAnsi="Times New Roman"/>
          <w:color w:val="000000"/>
        </w:rPr>
        <w:t>, June 1963, p65.</w:t>
      </w:r>
    </w:p>
  </w:footnote>
  <w:footnote w:id="17">
    <w:p w14:paraId="43354930" w14:textId="77777777" w:rsidR="008835C2" w:rsidRDefault="00F950D0">
      <w:pPr>
        <w:pStyle w:val="Footnote"/>
        <w:rPr>
          <w:rFonts w:hint="eastAsia"/>
        </w:rPr>
      </w:pPr>
      <w:r>
        <w:rPr>
          <w:color w:val="000000"/>
        </w:rPr>
        <w:footnoteRef/>
      </w:r>
      <w:r>
        <w:rPr>
          <w:color w:val="000000"/>
        </w:rPr>
        <w:tab/>
        <w:t xml:space="preserve">Turner, W. "Safer Weed-Killer Spraying." </w:t>
      </w:r>
      <w:r>
        <w:rPr>
          <w:i/>
          <w:color w:val="000000"/>
        </w:rPr>
        <w:t>Practical Gardening</w:t>
      </w:r>
      <w:r>
        <w:rPr>
          <w:color w:val="000000"/>
        </w:rPr>
        <w:t xml:space="preserve">, October 1966, p65. </w:t>
      </w:r>
    </w:p>
  </w:footnote>
  <w:footnote w:id="18">
    <w:p w14:paraId="6E45833D" w14:textId="77777777" w:rsidR="008835C2" w:rsidRDefault="00F950D0">
      <w:pPr>
        <w:pStyle w:val="Footnote"/>
        <w:rPr>
          <w:rFonts w:hint="eastAsia"/>
        </w:rPr>
      </w:pPr>
      <w:r>
        <w:footnoteRef/>
      </w:r>
      <w:r>
        <w:tab/>
        <w:t>“To get plenty of vegetables, I give them plenty of help”, Daily Express, 04.09.77, p22. "Fast and easy. That's how I get rid of weeds" Daily Mail, 16.04.77 p31. In both adverts, Percy is shown holding his pipe</w:t>
      </w:r>
    </w:p>
  </w:footnote>
  <w:footnote w:id="19">
    <w:p w14:paraId="7BC89BF7"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Buchan, Ursula. </w:t>
      </w:r>
      <w:r>
        <w:rPr>
          <w:rFonts w:ascii="Times New Roman" w:hAnsi="Times New Roman"/>
          <w:i/>
          <w:color w:val="000000"/>
        </w:rPr>
        <w:t>A Green and Pleasant Land: How England's Gardeners Fought the Second World War</w:t>
      </w:r>
      <w:r>
        <w:rPr>
          <w:rFonts w:ascii="Times New Roman" w:hAnsi="Times New Roman"/>
          <w:color w:val="000000"/>
        </w:rPr>
        <w:t>.  London: Hutchinson, 2013. Chapter 6</w:t>
      </w:r>
    </w:p>
  </w:footnote>
  <w:footnote w:id="20">
    <w:p w14:paraId="5A1446A5" w14:textId="77777777" w:rsidR="008835C2" w:rsidRDefault="00F950D0">
      <w:pPr>
        <w:pStyle w:val="Footnote"/>
        <w:rPr>
          <w:rFonts w:hint="eastAsia"/>
        </w:rPr>
      </w:pPr>
      <w:r>
        <w:footnoteRef/>
      </w:r>
      <w:r>
        <w:tab/>
        <w:t>"Gardening" The Times, 16.05.70, p26; "Gardening" The Times, 04.07.70 p23</w:t>
      </w:r>
    </w:p>
  </w:footnote>
  <w:footnote w:id="21">
    <w:p w14:paraId="56E701C8"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Take the </w:t>
      </w:r>
      <w:proofErr w:type="spellStart"/>
      <w:r>
        <w:rPr>
          <w:rFonts w:ascii="Times New Roman" w:hAnsi="Times New Roman"/>
          <w:color w:val="000000"/>
        </w:rPr>
        <w:t>backbreak</w:t>
      </w:r>
      <w:proofErr w:type="spellEnd"/>
      <w:r>
        <w:rPr>
          <w:rFonts w:ascii="Times New Roman" w:hAnsi="Times New Roman"/>
          <w:color w:val="000000"/>
        </w:rPr>
        <w:t xml:space="preserve"> out of weeding' Roy Hay, The Times, 17.06.67, p6</w:t>
      </w:r>
    </w:p>
  </w:footnote>
  <w:footnote w:id="22">
    <w:p w14:paraId="773C2753"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'Take the </w:t>
      </w:r>
      <w:proofErr w:type="spellStart"/>
      <w:r>
        <w:rPr>
          <w:rFonts w:ascii="Times New Roman" w:hAnsi="Times New Roman"/>
          <w:color w:val="000000"/>
        </w:rPr>
        <w:t>backbreak</w:t>
      </w:r>
      <w:proofErr w:type="spellEnd"/>
      <w:r>
        <w:rPr>
          <w:rFonts w:ascii="Times New Roman" w:hAnsi="Times New Roman"/>
          <w:color w:val="000000"/>
        </w:rPr>
        <w:t xml:space="preserve"> out of weeding' Roy Hay, The Times, 17.06.67, p6 (this article predominantly about ground cover was adjacent to a </w:t>
      </w:r>
      <w:proofErr w:type="spellStart"/>
      <w:r>
        <w:rPr>
          <w:rFonts w:ascii="Times New Roman" w:hAnsi="Times New Roman"/>
          <w:color w:val="000000"/>
        </w:rPr>
        <w:t>Weedol</w:t>
      </w:r>
      <w:proofErr w:type="spellEnd"/>
      <w:r>
        <w:rPr>
          <w:rFonts w:ascii="Times New Roman" w:hAnsi="Times New Roman"/>
          <w:color w:val="000000"/>
        </w:rPr>
        <w:t xml:space="preserve"> advert</w:t>
      </w:r>
      <w:proofErr w:type="gramStart"/>
      <w:r>
        <w:rPr>
          <w:rFonts w:ascii="Times New Roman" w:hAnsi="Times New Roman"/>
          <w:color w:val="000000"/>
        </w:rPr>
        <w:t>);  '</w:t>
      </w:r>
      <w:proofErr w:type="gramEnd"/>
      <w:r>
        <w:rPr>
          <w:rFonts w:ascii="Times New Roman" w:hAnsi="Times New Roman"/>
          <w:color w:val="000000"/>
        </w:rPr>
        <w:t xml:space="preserve">A case for ground cover.' Times [London, England] 1 June 1974: 13, Roy Hay. 'Covering a lot of ground.' Times [London, England] 15 June 1974: 12. </w:t>
      </w:r>
    </w:p>
  </w:footnote>
  <w:footnote w:id="23">
    <w:p w14:paraId="59BD9AE7"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Holmes, Caroline. </w:t>
      </w:r>
      <w:r>
        <w:rPr>
          <w:rFonts w:ascii="Times New Roman" w:hAnsi="Times New Roman"/>
          <w:i/>
          <w:color w:val="000000"/>
        </w:rPr>
        <w:t>New Shoots Old Tips</w:t>
      </w:r>
      <w:r>
        <w:rPr>
          <w:rFonts w:ascii="Times New Roman" w:hAnsi="Times New Roman"/>
          <w:color w:val="000000"/>
        </w:rPr>
        <w:t>.  London: Frances Lincoln, 2004. p21-22</w:t>
      </w:r>
    </w:p>
  </w:footnote>
  <w:footnote w:id="24">
    <w:p w14:paraId="59EC8494" w14:textId="77777777" w:rsidR="008835C2" w:rsidRDefault="00F950D0">
      <w:pPr>
        <w:pStyle w:val="Footnote"/>
        <w:rPr>
          <w:rFonts w:hint="eastAsia"/>
        </w:rPr>
      </w:pPr>
      <w:r>
        <w:rPr>
          <w:color w:val="000000"/>
        </w:rPr>
        <w:footnoteRef/>
      </w:r>
      <w:r>
        <w:rPr>
          <w:color w:val="000000"/>
        </w:rPr>
        <w:tab/>
        <w:t xml:space="preserve">Beale, Reginald. </w:t>
      </w:r>
      <w:r>
        <w:rPr>
          <w:i/>
          <w:color w:val="000000"/>
        </w:rPr>
        <w:t>The Book of the Lawn: A Complete Guide to the Making and Maintenance of Lawns and Greens for All Purposes</w:t>
      </w:r>
      <w:r>
        <w:rPr>
          <w:color w:val="000000"/>
        </w:rPr>
        <w:t xml:space="preserve">.  London: </w:t>
      </w:r>
      <w:proofErr w:type="spellStart"/>
      <w:r>
        <w:rPr>
          <w:color w:val="000000"/>
        </w:rPr>
        <w:t>Cassell</w:t>
      </w:r>
      <w:proofErr w:type="spellEnd"/>
      <w:r>
        <w:rPr>
          <w:color w:val="000000"/>
        </w:rPr>
        <w:t>, 1931. p78</w:t>
      </w:r>
    </w:p>
  </w:footnote>
  <w:footnote w:id="25">
    <w:p w14:paraId="61A71AD9"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Thomas, Kevin D. "Understanding Representations of Black and White Manhood in Print Advertising." </w:t>
      </w:r>
      <w:r>
        <w:rPr>
          <w:rFonts w:ascii="Times New Roman" w:hAnsi="Times New Roman"/>
          <w:i/>
          <w:color w:val="000000"/>
        </w:rPr>
        <w:t xml:space="preserve">Advertising &amp; Society Review </w:t>
      </w:r>
      <w:r>
        <w:rPr>
          <w:rFonts w:ascii="Times New Roman" w:hAnsi="Times New Roman"/>
          <w:color w:val="000000"/>
        </w:rPr>
        <w:t>14, no. 2 (2013).</w:t>
      </w:r>
    </w:p>
  </w:footnote>
  <w:footnote w:id="26">
    <w:p w14:paraId="62BDE50D" w14:textId="77777777" w:rsidR="008835C2" w:rsidRDefault="00F950D0">
      <w:pPr>
        <w:pStyle w:val="Footnote"/>
        <w:rPr>
          <w:rFonts w:hint="eastAsia"/>
        </w:rPr>
      </w:pPr>
      <w:r>
        <w:rPr>
          <w:color w:val="000000"/>
        </w:rPr>
        <w:footnoteRef/>
      </w:r>
      <w:r>
        <w:rPr>
          <w:color w:val="000000"/>
        </w:rPr>
        <w:tab/>
        <w:t xml:space="preserve">"Waging War on Weeds." </w:t>
      </w:r>
      <w:r>
        <w:rPr>
          <w:i/>
          <w:color w:val="000000"/>
        </w:rPr>
        <w:t>Good Housekeeping</w:t>
      </w:r>
      <w:r>
        <w:rPr>
          <w:color w:val="000000"/>
        </w:rPr>
        <w:t>, July 1975, p110.</w:t>
      </w:r>
    </w:p>
  </w:footnote>
  <w:footnote w:id="27">
    <w:p w14:paraId="2A0904FB" w14:textId="77777777" w:rsidR="008835C2" w:rsidRDefault="00F950D0">
      <w:pPr>
        <w:pStyle w:val="Footnote"/>
        <w:rPr>
          <w:rFonts w:hint="eastAsia"/>
        </w:rPr>
      </w:pPr>
      <w:r>
        <w:footnoteRef/>
      </w:r>
      <w:r>
        <w:tab/>
        <w:t>“Super Summer” Timothy Whites advert, Daily Express, 17.05.68</w:t>
      </w:r>
    </w:p>
  </w:footnote>
  <w:footnote w:id="28">
    <w:p w14:paraId="3710E22F"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Marchand</w:t>
      </w:r>
      <w:proofErr w:type="spellEnd"/>
      <w:r>
        <w:rPr>
          <w:rFonts w:ascii="Times New Roman" w:hAnsi="Times New Roman"/>
          <w:color w:val="000000"/>
        </w:rPr>
        <w:t xml:space="preserve">, Roland. "Advertisements as Social Tableaux." In </w:t>
      </w:r>
      <w:r>
        <w:rPr>
          <w:rFonts w:ascii="Times New Roman" w:hAnsi="Times New Roman"/>
          <w:i/>
          <w:color w:val="000000"/>
        </w:rPr>
        <w:t>Advertising and the American Dream: Making Way for Modernity, 1920 - 1940</w:t>
      </w:r>
      <w:r>
        <w:rPr>
          <w:rFonts w:ascii="Times New Roman" w:hAnsi="Times New Roman"/>
          <w:color w:val="000000"/>
        </w:rPr>
        <w:t>, 164-205. Berkley: University of California Press, 1985.</w:t>
      </w:r>
    </w:p>
  </w:footnote>
  <w:footnote w:id="29">
    <w:p w14:paraId="1DC1E61D"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r>
      <w:proofErr w:type="spellStart"/>
      <w:r>
        <w:rPr>
          <w:rFonts w:ascii="Times New Roman" w:hAnsi="Times New Roman"/>
          <w:color w:val="000000"/>
        </w:rPr>
        <w:t>Zayer</w:t>
      </w:r>
      <w:proofErr w:type="spellEnd"/>
      <w:r>
        <w:rPr>
          <w:rFonts w:ascii="Times New Roman" w:hAnsi="Times New Roman"/>
          <w:color w:val="000000"/>
        </w:rPr>
        <w:t xml:space="preserve">, Linda </w:t>
      </w:r>
      <w:proofErr w:type="spellStart"/>
      <w:r>
        <w:rPr>
          <w:rFonts w:ascii="Times New Roman" w:hAnsi="Times New Roman"/>
          <w:color w:val="000000"/>
        </w:rPr>
        <w:t>Tuncay</w:t>
      </w:r>
      <w:proofErr w:type="spellEnd"/>
      <w:r>
        <w:rPr>
          <w:rFonts w:ascii="Times New Roman" w:hAnsi="Times New Roman"/>
          <w:color w:val="000000"/>
        </w:rPr>
        <w:t xml:space="preserve">. "A Typology of Men's Conceptualizations of Ideal Masculinity in Advertising." </w:t>
      </w:r>
      <w:r>
        <w:rPr>
          <w:rFonts w:ascii="Times New Roman" w:hAnsi="Times New Roman"/>
          <w:i/>
          <w:color w:val="000000"/>
        </w:rPr>
        <w:t xml:space="preserve">Advertising &amp; Society Review </w:t>
      </w:r>
      <w:r>
        <w:rPr>
          <w:rFonts w:ascii="Times New Roman" w:hAnsi="Times New Roman"/>
          <w:color w:val="000000"/>
        </w:rPr>
        <w:t>11, no. 1 (2010).</w:t>
      </w:r>
    </w:p>
  </w:footnote>
  <w:footnote w:id="30">
    <w:p w14:paraId="32A5B37D"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Bhatti, Mark, and Andrew Church. "‘I Never Promised You a Rose Garden’: Gender, Leisure and Home-Making." </w:t>
      </w:r>
      <w:r>
        <w:rPr>
          <w:rFonts w:ascii="Times New Roman" w:hAnsi="Times New Roman"/>
          <w:i/>
          <w:color w:val="000000"/>
        </w:rPr>
        <w:t xml:space="preserve">Leisure Studies </w:t>
      </w:r>
      <w:r>
        <w:rPr>
          <w:rFonts w:ascii="Times New Roman" w:hAnsi="Times New Roman"/>
          <w:color w:val="000000"/>
        </w:rPr>
        <w:t>19, no. 3 (2000): 183-97.</w:t>
      </w:r>
    </w:p>
  </w:footnote>
  <w:footnote w:id="31">
    <w:p w14:paraId="19E38ACB" w14:textId="77777777" w:rsidR="008835C2" w:rsidRDefault="00F950D0">
      <w:pPr>
        <w:pStyle w:val="Footnote"/>
        <w:rPr>
          <w:rFonts w:hint="eastAsia"/>
        </w:rPr>
      </w:pPr>
      <w:r>
        <w:footnoteRef/>
      </w:r>
      <w:r>
        <w:tab/>
        <w:t xml:space="preserve">Last, </w:t>
      </w:r>
      <w:proofErr w:type="spellStart"/>
      <w:r>
        <w:t>Nella</w:t>
      </w:r>
      <w:proofErr w:type="spellEnd"/>
      <w:r>
        <w:t xml:space="preserve">, </w:t>
      </w:r>
      <w:proofErr w:type="spellStart"/>
      <w:r>
        <w:t>Malcomson</w:t>
      </w:r>
      <w:proofErr w:type="spellEnd"/>
      <w:r>
        <w:t xml:space="preserve">, Patricia and Robert </w:t>
      </w:r>
      <w:proofErr w:type="spellStart"/>
      <w:r>
        <w:t>Malcomson</w:t>
      </w:r>
      <w:proofErr w:type="spellEnd"/>
      <w:r>
        <w:t xml:space="preserve"> () </w:t>
      </w:r>
      <w:proofErr w:type="spellStart"/>
      <w:r>
        <w:rPr>
          <w:i/>
          <w:iCs/>
        </w:rPr>
        <w:t>Nella</w:t>
      </w:r>
      <w:proofErr w:type="spellEnd"/>
      <w:r>
        <w:rPr>
          <w:i/>
          <w:iCs/>
        </w:rPr>
        <w:t xml:space="preserve"> Last's Peace: The Post-War Diaries</w:t>
      </w:r>
    </w:p>
  </w:footnote>
  <w:footnote w:id="32">
    <w:p w14:paraId="4950530E"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Watson, Katherine. </w:t>
      </w:r>
      <w:r>
        <w:rPr>
          <w:rFonts w:ascii="Times New Roman" w:hAnsi="Times New Roman"/>
          <w:i/>
          <w:color w:val="000000"/>
        </w:rPr>
        <w:t xml:space="preserve">Poisoned </w:t>
      </w:r>
      <w:proofErr w:type="gramStart"/>
      <w:r>
        <w:rPr>
          <w:rFonts w:ascii="Times New Roman" w:hAnsi="Times New Roman"/>
          <w:i/>
          <w:color w:val="000000"/>
        </w:rPr>
        <w:t>Lives :</w:t>
      </w:r>
      <w:proofErr w:type="gramEnd"/>
      <w:r>
        <w:rPr>
          <w:rFonts w:ascii="Times New Roman" w:hAnsi="Times New Roman"/>
          <w:i/>
          <w:color w:val="000000"/>
        </w:rPr>
        <w:t xml:space="preserve"> English Poisoners and Their Victims</w:t>
      </w:r>
      <w:r>
        <w:rPr>
          <w:rFonts w:ascii="Times New Roman" w:hAnsi="Times New Roman"/>
          <w:color w:val="000000"/>
        </w:rPr>
        <w:t xml:space="preserve">.  </w:t>
      </w:r>
      <w:proofErr w:type="gramStart"/>
      <w:r>
        <w:rPr>
          <w:rFonts w:ascii="Times New Roman" w:hAnsi="Times New Roman"/>
          <w:color w:val="000000"/>
        </w:rPr>
        <w:t>London ;</w:t>
      </w:r>
      <w:proofErr w:type="gramEnd"/>
      <w:r>
        <w:rPr>
          <w:rFonts w:ascii="Times New Roman" w:hAnsi="Times New Roman"/>
          <w:color w:val="000000"/>
        </w:rPr>
        <w:t xml:space="preserve"> New York: </w:t>
      </w:r>
      <w:proofErr w:type="spellStart"/>
      <w:r>
        <w:rPr>
          <w:rFonts w:ascii="Times New Roman" w:hAnsi="Times New Roman"/>
          <w:color w:val="000000"/>
        </w:rPr>
        <w:t>Hambledon</w:t>
      </w:r>
      <w:proofErr w:type="spellEnd"/>
      <w:r>
        <w:rPr>
          <w:rFonts w:ascii="Times New Roman" w:hAnsi="Times New Roman"/>
          <w:color w:val="000000"/>
        </w:rPr>
        <w:t xml:space="preserve"> and London, 2004.</w:t>
      </w:r>
    </w:p>
  </w:footnote>
  <w:footnote w:id="33">
    <w:p w14:paraId="298F1A9A"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Longmuir, Harry, and Keith </w:t>
      </w:r>
      <w:proofErr w:type="spellStart"/>
      <w:r>
        <w:rPr>
          <w:rFonts w:ascii="Times New Roman" w:hAnsi="Times New Roman"/>
          <w:color w:val="000000"/>
        </w:rPr>
        <w:t>Colling</w:t>
      </w:r>
      <w:proofErr w:type="spellEnd"/>
      <w:r>
        <w:rPr>
          <w:rFonts w:ascii="Times New Roman" w:hAnsi="Times New Roman"/>
          <w:color w:val="000000"/>
        </w:rPr>
        <w:t xml:space="preserve">. "Jail-Break Men Made Their Own Arsenal." </w:t>
      </w:r>
      <w:r>
        <w:rPr>
          <w:rFonts w:ascii="Times New Roman" w:hAnsi="Times New Roman"/>
          <w:i/>
          <w:color w:val="000000"/>
        </w:rPr>
        <w:t>The Daily Mail</w:t>
      </w:r>
      <w:r>
        <w:rPr>
          <w:rFonts w:ascii="Times New Roman" w:hAnsi="Times New Roman"/>
          <w:color w:val="000000"/>
        </w:rPr>
        <w:t>, 28 November 1972, 9.</w:t>
      </w:r>
    </w:p>
  </w:footnote>
  <w:footnote w:id="34">
    <w:p w14:paraId="71FC499A" w14:textId="77777777" w:rsidR="008835C2" w:rsidRDefault="00F950D0">
      <w:pPr>
        <w:pStyle w:val="Footnote"/>
        <w:rPr>
          <w:rFonts w:hint="eastAsia"/>
        </w:rPr>
      </w:pPr>
      <w:r>
        <w:rPr>
          <w:rFonts w:ascii="Times New Roman" w:hAnsi="Times New Roman"/>
          <w:color w:val="000000"/>
        </w:rPr>
        <w:footnoteRef/>
      </w:r>
      <w:r>
        <w:rPr>
          <w:rFonts w:ascii="Times New Roman" w:hAnsi="Times New Roman"/>
          <w:color w:val="000000"/>
        </w:rPr>
        <w:tab/>
        <w:t xml:space="preserve">Sale, Jonathan. "Inside Story of Life Behind Bars." </w:t>
      </w:r>
      <w:r>
        <w:rPr>
          <w:rFonts w:ascii="Times New Roman" w:hAnsi="Times New Roman"/>
          <w:i/>
          <w:color w:val="000000"/>
        </w:rPr>
        <w:t>The Times</w:t>
      </w:r>
      <w:r>
        <w:rPr>
          <w:rFonts w:ascii="Times New Roman" w:hAnsi="Times New Roman"/>
          <w:color w:val="000000"/>
        </w:rPr>
        <w:t>, 27 October 1973, 14.</w:t>
      </w:r>
    </w:p>
  </w:footnote>
  <w:footnote w:id="35">
    <w:p w14:paraId="76A099F8" w14:textId="77777777" w:rsidR="008835C2" w:rsidRDefault="00F950D0">
      <w:pPr>
        <w:pStyle w:val="Footnote"/>
        <w:rPr>
          <w:rFonts w:hint="eastAsia"/>
        </w:rPr>
      </w:pPr>
      <w:r>
        <w:footnoteRef/>
      </w:r>
    </w:p>
  </w:footnote>
  <w:footnote w:id="36">
    <w:p w14:paraId="0A3FB735" w14:textId="77777777" w:rsidR="008835C2" w:rsidRDefault="00F950D0">
      <w:pPr>
        <w:pStyle w:val="Footnote"/>
        <w:rPr>
          <w:rFonts w:hint="eastAsia"/>
        </w:rPr>
      </w:pPr>
      <w:r>
        <w:rPr>
          <w:color w:val="000000"/>
        </w:rPr>
        <w:footnoteRef/>
      </w:r>
      <w:r>
        <w:rPr>
          <w:color w:val="000000"/>
        </w:rPr>
        <w:tab/>
        <w:t xml:space="preserve">Fallows, George. "I Let the Gas Man Dope Me." </w:t>
      </w:r>
      <w:r>
        <w:rPr>
          <w:i/>
          <w:color w:val="000000"/>
        </w:rPr>
        <w:t>The Daily Mirror</w:t>
      </w:r>
      <w:r>
        <w:rPr>
          <w:color w:val="000000"/>
        </w:rPr>
        <w:t>, 18 November 1960.</w:t>
      </w:r>
    </w:p>
  </w:footnote>
  <w:footnote w:id="37">
    <w:p w14:paraId="49642653" w14:textId="77777777" w:rsidR="008835C2" w:rsidRDefault="00F950D0">
      <w:pPr>
        <w:pStyle w:val="Footnote"/>
        <w:rPr>
          <w:rFonts w:hint="eastAsia"/>
        </w:rPr>
      </w:pPr>
      <w:r>
        <w:rPr>
          <w:color w:val="000000"/>
        </w:rPr>
        <w:footnoteRef/>
      </w:r>
      <w:r>
        <w:rPr>
          <w:color w:val="000000"/>
        </w:rPr>
        <w:tab/>
        <w:t xml:space="preserve">Payne, J. "The Criminal Use of Carbon Tetrachloride." In </w:t>
      </w:r>
      <w:r>
        <w:rPr>
          <w:i/>
          <w:color w:val="000000"/>
        </w:rPr>
        <w:t>History of Anaesthesia Society Autumn Scientific Meeting</w:t>
      </w:r>
      <w:r>
        <w:rPr>
          <w:color w:val="000000"/>
        </w:rPr>
        <w:t>, 12-13. Chequer Mead Arts Centre, East Grinstead, 2003.</w:t>
      </w:r>
    </w:p>
  </w:footnote>
  <w:footnote w:id="38">
    <w:p w14:paraId="29F056DC" w14:textId="77777777" w:rsidR="00667D29" w:rsidRDefault="00667D29" w:rsidP="00667D29">
      <w:pPr>
        <w:pStyle w:val="Footnote"/>
        <w:rPr>
          <w:rFonts w:hint="eastAsia"/>
        </w:rPr>
      </w:pPr>
      <w:r>
        <w:rPr>
          <w:rFonts w:ascii="Times New Roman" w:hAnsi="Times New Roman"/>
          <w:color w:val="000000"/>
        </w:rPr>
        <w:footnoteRef/>
      </w:r>
      <w:r>
        <w:rPr>
          <w:rFonts w:ascii="Times New Roman" w:hAnsi="Times New Roman"/>
          <w:color w:val="000000"/>
        </w:rPr>
        <w:tab/>
        <w:t xml:space="preserve">Watson, Joyce M. "Clinical and Laboratory Investigations in 132 Cases of Solvent Abuse." </w:t>
      </w:r>
      <w:r>
        <w:rPr>
          <w:rFonts w:ascii="Times New Roman" w:hAnsi="Times New Roman"/>
          <w:i/>
          <w:color w:val="000000"/>
        </w:rPr>
        <w:t xml:space="preserve">Medicine, Science and the Law </w:t>
      </w:r>
      <w:r>
        <w:rPr>
          <w:rFonts w:ascii="Times New Roman" w:hAnsi="Times New Roman"/>
          <w:color w:val="000000"/>
        </w:rPr>
        <w:t>18, no. 1 (1978): 40-43.</w:t>
      </w:r>
    </w:p>
  </w:footnote>
  <w:footnote w:id="39">
    <w:p w14:paraId="78007BD6" w14:textId="77777777" w:rsidR="00563A24" w:rsidRPr="00563A24" w:rsidRDefault="00563A24" w:rsidP="00563A24">
      <w:pPr>
        <w:suppressAutoHyphens w:val="0"/>
        <w:autoSpaceDE w:val="0"/>
        <w:autoSpaceDN w:val="0"/>
        <w:adjustRightInd w:val="0"/>
        <w:ind w:left="720" w:hanging="720"/>
        <w:rPr>
          <w:rFonts w:ascii="Helvetica" w:hAnsi="Helvetica" w:cs="Helvetica"/>
          <w:lang w:val="en-US" w:bidi="ar-SA"/>
        </w:rPr>
      </w:pPr>
      <w:r>
        <w:rPr>
          <w:rStyle w:val="FootnoteReference"/>
          <w:rFonts w:hint="eastAsia"/>
        </w:rPr>
        <w:footnoteRef/>
      </w:r>
      <w:r>
        <w:rPr>
          <w:rFonts w:hint="eastAsia"/>
        </w:rPr>
        <w:t xml:space="preserve"> </w:t>
      </w:r>
      <w:r>
        <w:rPr>
          <w:rFonts w:ascii="Helvetica" w:hAnsi="Helvetica" w:cs="Helvetica"/>
          <w:lang w:val="en-US" w:bidi="ar-SA"/>
        </w:rPr>
        <w:t xml:space="preserve">Forrester, John, Sally Oppenheim, John Fraser, and Neil Thorne. "House of Commons Debate: Dangerous Household Products (Child Safety) Packaging Bill." </w:t>
      </w:r>
      <w:proofErr w:type="spellStart"/>
      <w:r>
        <w:rPr>
          <w:rFonts w:ascii="Helvetica" w:hAnsi="Helvetica" w:cs="Helvetica"/>
          <w:i/>
          <w:iCs/>
          <w:lang w:val="en-US" w:bidi="ar-SA"/>
        </w:rPr>
        <w:t>Hansard</w:t>
      </w:r>
      <w:proofErr w:type="spellEnd"/>
      <w:r>
        <w:rPr>
          <w:rFonts w:ascii="Helvetica" w:hAnsi="Helvetica" w:cs="Helvetica"/>
          <w:i/>
          <w:iCs/>
          <w:lang w:val="en-US" w:bidi="ar-SA"/>
        </w:rPr>
        <w:t xml:space="preserve"> </w:t>
      </w:r>
      <w:r>
        <w:rPr>
          <w:rFonts w:ascii="Helvetica" w:hAnsi="Helvetica" w:cs="Helvetica"/>
          <w:lang w:val="en-US" w:bidi="ar-SA"/>
        </w:rPr>
        <w:t>16 (29 January 1982): cc1157-67.</w:t>
      </w:r>
    </w:p>
  </w:footnote>
  <w:footnote w:id="40">
    <w:p w14:paraId="6890312E" w14:textId="120FE0A5" w:rsidR="001A6DA8" w:rsidRDefault="001A6DA8">
      <w:pPr>
        <w:pStyle w:val="FootnoteText"/>
        <w:rPr>
          <w:rFonts w:hint="eastAsia"/>
        </w:rPr>
      </w:pPr>
      <w:r>
        <w:rPr>
          <w:rStyle w:val="FootnoteReference"/>
          <w:rFonts w:hint="eastAsia"/>
        </w:rPr>
        <w:footnoteRef/>
      </w:r>
      <w:r>
        <w:rPr>
          <w:rFonts w:hint="eastAsia"/>
        </w:rPr>
        <w:t xml:space="preserve"> </w:t>
      </w:r>
      <w:proofErr w:type="spellStart"/>
      <w:r>
        <w:rPr>
          <w:color w:val="000000"/>
        </w:rPr>
        <w:t>Wynter</w:t>
      </w:r>
      <w:proofErr w:type="spellEnd"/>
      <w:r>
        <w:rPr>
          <w:color w:val="000000"/>
        </w:rPr>
        <w:t xml:space="preserve"> Blyth, </w:t>
      </w:r>
      <w:proofErr w:type="gramStart"/>
      <w:r>
        <w:rPr>
          <w:color w:val="000000"/>
        </w:rPr>
        <w:t>Alexander ,</w:t>
      </w:r>
      <w:proofErr w:type="gramEnd"/>
      <w:r>
        <w:rPr>
          <w:color w:val="000000"/>
        </w:rPr>
        <w:t xml:space="preserve"> and Meredith  </w:t>
      </w:r>
      <w:proofErr w:type="spellStart"/>
      <w:r>
        <w:rPr>
          <w:color w:val="000000"/>
        </w:rPr>
        <w:t>Wynter</w:t>
      </w:r>
      <w:proofErr w:type="spellEnd"/>
      <w:r>
        <w:rPr>
          <w:color w:val="000000"/>
        </w:rPr>
        <w:t xml:space="preserve"> Blyth. </w:t>
      </w:r>
      <w:r>
        <w:rPr>
          <w:i/>
          <w:color w:val="000000"/>
        </w:rPr>
        <w:t>Poisons: Their Effects and Detection</w:t>
      </w:r>
      <w:r>
        <w:rPr>
          <w:color w:val="000000"/>
        </w:rPr>
        <w:t>. 5th ed.  London: C. Griffin &amp; Company, 1920.</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C1028"/>
    <w:multiLevelType w:val="multilevel"/>
    <w:tmpl w:val="021095B4"/>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835C2"/>
    <w:rsid w:val="001A6DA8"/>
    <w:rsid w:val="003E1602"/>
    <w:rsid w:val="00552EC9"/>
    <w:rsid w:val="00563A24"/>
    <w:rsid w:val="0066286E"/>
    <w:rsid w:val="00667D29"/>
    <w:rsid w:val="007F3B1B"/>
    <w:rsid w:val="008835C2"/>
    <w:rsid w:val="0091571D"/>
    <w:rsid w:val="00BD40BE"/>
    <w:rsid w:val="00C052E0"/>
    <w:rsid w:val="00EF65C1"/>
    <w:rsid w:val="00F95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CB3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Unicode MS" w:hAnsi="Liberation Serif"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6"/>
      <w:szCs w:val="36"/>
    </w:rPr>
  </w:style>
  <w:style w:type="paragraph" w:styleId="Heading2">
    <w:name w:val="heading 2"/>
    <w:basedOn w:val="Heading"/>
    <w:next w:val="TextBody"/>
    <w:pPr>
      <w:numPr>
        <w:ilvl w:val="1"/>
        <w:numId w:val="1"/>
      </w:numPr>
      <w:spacing w:before="200"/>
      <w:outlineLvl w:val="1"/>
    </w:pPr>
    <w:rPr>
      <w:b/>
      <w:bCs/>
      <w:sz w:val="32"/>
      <w:szCs w:val="32"/>
    </w:rPr>
  </w:style>
  <w:style w:type="paragraph" w:styleId="Heading3">
    <w:name w:val="heading 3"/>
    <w:basedOn w:val="Heading"/>
    <w:next w:val="TextBody"/>
    <w:pPr>
      <w:numPr>
        <w:ilvl w:val="2"/>
        <w:numId w:val="1"/>
      </w:num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Footnote">
    <w:name w:val="Footnote"/>
    <w:basedOn w:val="Normal"/>
    <w:pPr>
      <w:suppressLineNumbers/>
      <w:ind w:left="339" w:hanging="339"/>
    </w:pPr>
    <w:rPr>
      <w:sz w:val="20"/>
      <w:szCs w:val="20"/>
    </w:rPr>
  </w:style>
  <w:style w:type="paragraph" w:customStyle="1" w:styleId="Illustration">
    <w:name w:val="Illustration"/>
    <w:basedOn w:val="Caption"/>
  </w:style>
  <w:style w:type="paragraph" w:customStyle="1" w:styleId="FrameContents">
    <w:name w:val="Frame Contents"/>
    <w:basedOn w:val="Normal"/>
  </w:style>
  <w:style w:type="paragraph" w:styleId="CommentText">
    <w:name w:val="annotation text"/>
    <w:basedOn w:val="Normal"/>
    <w:link w:val="CommentTextChar"/>
    <w:uiPriority w:val="99"/>
    <w:semiHidden/>
    <w:unhideWhenUsed/>
    <w:rPr>
      <w:rFonts w:cs="Mangal"/>
      <w:szCs w:val="21"/>
    </w:rPr>
  </w:style>
  <w:style w:type="character" w:customStyle="1" w:styleId="CommentTextChar">
    <w:name w:val="Comment Text Char"/>
    <w:basedOn w:val="DefaultParagraphFont"/>
    <w:link w:val="CommentText"/>
    <w:uiPriority w:val="99"/>
    <w:semiHidden/>
    <w:rPr>
      <w:rFonts w:cs="Mangal"/>
      <w:szCs w:val="21"/>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63A24"/>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563A24"/>
    <w:rPr>
      <w:rFonts w:ascii="Times New Roman" w:hAnsi="Times New Roman" w:cs="Mangal"/>
      <w:sz w:val="18"/>
      <w:szCs w:val="16"/>
    </w:rPr>
  </w:style>
  <w:style w:type="paragraph" w:styleId="FootnoteText">
    <w:name w:val="footnote text"/>
    <w:basedOn w:val="Normal"/>
    <w:link w:val="FootnoteTextChar"/>
    <w:uiPriority w:val="99"/>
    <w:unhideWhenUsed/>
    <w:rsid w:val="00563A24"/>
    <w:rPr>
      <w:rFonts w:cs="Mangal"/>
      <w:szCs w:val="21"/>
    </w:rPr>
  </w:style>
  <w:style w:type="character" w:customStyle="1" w:styleId="FootnoteTextChar">
    <w:name w:val="Footnote Text Char"/>
    <w:basedOn w:val="DefaultParagraphFont"/>
    <w:link w:val="FootnoteText"/>
    <w:uiPriority w:val="99"/>
    <w:rsid w:val="00563A24"/>
    <w:rPr>
      <w:rFonts w:cs="Mangal"/>
      <w:szCs w:val="21"/>
    </w:rPr>
  </w:style>
  <w:style w:type="character" w:styleId="FootnoteReference">
    <w:name w:val="footnote reference"/>
    <w:basedOn w:val="DefaultParagraphFont"/>
    <w:uiPriority w:val="99"/>
    <w:unhideWhenUsed/>
    <w:rsid w:val="00563A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comments" Target="comments.xml"/><Relationship Id="rId1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734760-9804-B447-8CED-64B4B0A9D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19115</TotalTime>
  <Pages>18</Pages>
  <Words>4719</Words>
  <Characters>26904</Characters>
  <Application>Microsoft Macintosh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 Rushmore</cp:lastModifiedBy>
  <cp:revision>31</cp:revision>
  <dcterms:created xsi:type="dcterms:W3CDTF">2015-03-09T14:16:00Z</dcterms:created>
  <dcterms:modified xsi:type="dcterms:W3CDTF">2015-09-08T09:25:00Z</dcterms:modified>
  <dc:language>en-US</dc:language>
</cp:coreProperties>
</file>